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Override PartName="/word/webSettings.xml" ContentType="application/vnd.openxmlformats-officedocument.wordprocessingml.webSettings+xml"/>
  <Override PartName="/word/footer1.xml" ContentType="application/vnd.openxmlformats-officedocument.wordprocessingml.footer+xml"/>
  <Override PartName="/docProps/custom.xml" ContentType="application/vnd.openxmlformats-officedocument.custom-properties+xml"/>
  <Default Extension="jpeg" ContentType="image/jpeg"/>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Borders>
          <w:left w:val="none" w:sz="0" w:space="0" w:color="auto"/>
          <w:right w:val="none" w:sz="0" w:space="0" w:color="auto"/>
          <w:insideH w:val="none" w:sz="0" w:space="0" w:color="auto"/>
          <w:insideV w:val="none" w:sz="0" w:space="0" w:color="auto"/>
        </w:tblBorders>
        <w:tblLayout w:type="fixed"/>
        <w:tblCellMar>
          <w:top w:w="43" w:type="dxa"/>
          <w:left w:w="115" w:type="dxa"/>
          <w:right w:w="115" w:type="dxa"/>
        </w:tblCellMar>
        <w:tblLook w:val="01E0" w:firstRow="1" w:lastRow="1" w:firstColumn="1" w:lastColumn="1" w:noHBand="0" w:noVBand="0"/>
      </w:tblPr>
      <w:tblGrid>
        <w:gridCol w:w="810"/>
        <w:gridCol w:w="4120"/>
        <w:gridCol w:w="830"/>
        <w:gridCol w:w="3600"/>
      </w:tblGrid>
      <w:tr w:rsidR="00ED65ED" w:rsidRPr="00ED65ED" w14:paraId="548A47F1" w14:textId="77777777" w:rsidTr="00EA482F">
        <w:trPr>
          <w:trHeight w:val="432"/>
        </w:trPr>
        <w:tc>
          <w:tcPr>
            <w:tcW w:w="810" w:type="dxa"/>
          </w:tcPr>
          <w:p w14:paraId="4A038D20" w14:textId="77777777" w:rsidR="00ED65ED" w:rsidRPr="00ED65ED" w:rsidRDefault="00ED65ED" w:rsidP="00ED65ED">
            <w:pPr>
              <w:spacing w:before="60"/>
              <w:ind w:left="720" w:hanging="720"/>
              <w:rPr>
                <w:rFonts w:ascii="Arial" w:hAnsi="Arial" w:cs="Arial"/>
                <w:b/>
                <w:sz w:val="16"/>
                <w:szCs w:val="16"/>
              </w:rPr>
            </w:pPr>
            <w:bookmarkStart w:id="0" w:name="_GoBack"/>
            <w:bookmarkEnd w:id="0"/>
            <w:r w:rsidRPr="00ED65ED">
              <w:rPr>
                <w:rFonts w:ascii="Arial" w:hAnsi="Arial" w:cs="Arial"/>
                <w:b/>
                <w:sz w:val="16"/>
                <w:szCs w:val="16"/>
              </w:rPr>
              <w:t xml:space="preserve">TO </w:t>
            </w:r>
            <w:r w:rsidRPr="00ED65ED">
              <w:rPr>
                <w:rFonts w:ascii="Arial" w:hAnsi="Arial" w:cs="Arial"/>
                <w:b/>
                <w:sz w:val="16"/>
                <w:szCs w:val="16"/>
              </w:rPr>
              <w:tab/>
            </w:r>
          </w:p>
        </w:tc>
        <w:tc>
          <w:tcPr>
            <w:tcW w:w="4120" w:type="dxa"/>
          </w:tcPr>
          <w:p w14:paraId="0549DCF8" w14:textId="32A35F5D" w:rsidR="00ED65ED" w:rsidRPr="00ED65ED" w:rsidRDefault="00871528" w:rsidP="00E31753">
            <w:pPr>
              <w:ind w:left="720" w:hanging="720"/>
              <w:rPr>
                <w:sz w:val="24"/>
                <w:szCs w:val="24"/>
              </w:rPr>
            </w:pPr>
            <w:bookmarkStart w:id="1" w:name="To"/>
            <w:bookmarkEnd w:id="1"/>
            <w:r>
              <w:rPr>
                <w:sz w:val="24"/>
                <w:szCs w:val="24"/>
              </w:rPr>
              <w:t>IAB</w:t>
            </w:r>
          </w:p>
        </w:tc>
        <w:tc>
          <w:tcPr>
            <w:tcW w:w="830" w:type="dxa"/>
          </w:tcPr>
          <w:p w14:paraId="7DAECF7C" w14:textId="77777777" w:rsidR="00ED65ED" w:rsidRPr="00ED65ED" w:rsidRDefault="00ED65ED" w:rsidP="00ED65ED">
            <w:pPr>
              <w:spacing w:before="60"/>
              <w:rPr>
                <w:rFonts w:ascii="Arial" w:hAnsi="Arial" w:cs="Arial"/>
                <w:b/>
                <w:sz w:val="16"/>
                <w:szCs w:val="16"/>
              </w:rPr>
            </w:pPr>
            <w:r w:rsidRPr="00ED65ED">
              <w:rPr>
                <w:rFonts w:ascii="Arial" w:hAnsi="Arial" w:cs="Arial"/>
                <w:b/>
                <w:sz w:val="16"/>
                <w:szCs w:val="16"/>
              </w:rPr>
              <w:t xml:space="preserve">DATE </w:t>
            </w:r>
            <w:r w:rsidRPr="00ED65ED">
              <w:rPr>
                <w:rFonts w:ascii="Arial" w:hAnsi="Arial" w:cs="Arial"/>
                <w:b/>
                <w:sz w:val="16"/>
                <w:szCs w:val="16"/>
              </w:rPr>
              <w:tab/>
            </w:r>
          </w:p>
        </w:tc>
        <w:tc>
          <w:tcPr>
            <w:tcW w:w="3600" w:type="dxa"/>
          </w:tcPr>
          <w:p w14:paraId="365ACD7F" w14:textId="04B0819A" w:rsidR="00ED65ED" w:rsidRPr="001E3081" w:rsidRDefault="006525BA" w:rsidP="00C338FB">
            <w:pPr>
              <w:rPr>
                <w:sz w:val="24"/>
                <w:szCs w:val="24"/>
              </w:rPr>
            </w:pPr>
            <w:bookmarkStart w:id="2" w:name="Date"/>
            <w:bookmarkEnd w:id="2"/>
            <w:r>
              <w:rPr>
                <w:sz w:val="24"/>
                <w:szCs w:val="24"/>
              </w:rPr>
              <w:t>November 4</w:t>
            </w:r>
            <w:r w:rsidR="001C26F8">
              <w:rPr>
                <w:sz w:val="24"/>
                <w:szCs w:val="24"/>
              </w:rPr>
              <w:t>, 2015</w:t>
            </w:r>
          </w:p>
        </w:tc>
      </w:tr>
      <w:tr w:rsidR="00ED65ED" w:rsidRPr="00ED65ED" w14:paraId="348C7A6C" w14:textId="77777777" w:rsidTr="00EA482F">
        <w:trPr>
          <w:trHeight w:val="432"/>
        </w:trPr>
        <w:tc>
          <w:tcPr>
            <w:tcW w:w="810" w:type="dxa"/>
          </w:tcPr>
          <w:p w14:paraId="57F6DB57" w14:textId="77777777" w:rsidR="00ED65ED" w:rsidRPr="00ED65ED" w:rsidRDefault="00ED65ED" w:rsidP="00ED65ED">
            <w:pPr>
              <w:spacing w:before="60"/>
              <w:rPr>
                <w:rFonts w:ascii="Arial" w:hAnsi="Arial" w:cs="Arial"/>
                <w:b/>
                <w:sz w:val="16"/>
                <w:szCs w:val="16"/>
              </w:rPr>
            </w:pPr>
            <w:r w:rsidRPr="00ED65ED">
              <w:rPr>
                <w:rFonts w:ascii="Arial" w:hAnsi="Arial" w:cs="Arial"/>
                <w:b/>
                <w:sz w:val="16"/>
                <w:szCs w:val="16"/>
              </w:rPr>
              <w:t xml:space="preserve">FROM </w:t>
            </w:r>
          </w:p>
        </w:tc>
        <w:tc>
          <w:tcPr>
            <w:tcW w:w="4120" w:type="dxa"/>
          </w:tcPr>
          <w:p w14:paraId="34497CEF" w14:textId="77777777" w:rsidR="00ED65ED" w:rsidRPr="00ED65ED" w:rsidRDefault="00742EE0" w:rsidP="00ED65ED">
            <w:pPr>
              <w:rPr>
                <w:sz w:val="24"/>
                <w:szCs w:val="24"/>
              </w:rPr>
            </w:pPr>
            <w:bookmarkStart w:id="3" w:name="From"/>
            <w:bookmarkEnd w:id="3"/>
            <w:r>
              <w:rPr>
                <w:sz w:val="24"/>
                <w:szCs w:val="24"/>
              </w:rPr>
              <w:t>Venable LLP</w:t>
            </w:r>
          </w:p>
        </w:tc>
        <w:tc>
          <w:tcPr>
            <w:tcW w:w="830" w:type="dxa"/>
          </w:tcPr>
          <w:p w14:paraId="024ABEFC" w14:textId="77777777" w:rsidR="00ED65ED" w:rsidRPr="00ED65ED" w:rsidRDefault="00ED65ED" w:rsidP="00ED65ED">
            <w:pPr>
              <w:spacing w:before="60"/>
              <w:rPr>
                <w:rFonts w:ascii="Arial" w:hAnsi="Arial" w:cs="Arial"/>
                <w:b/>
                <w:sz w:val="16"/>
                <w:szCs w:val="16"/>
              </w:rPr>
            </w:pPr>
            <w:r w:rsidRPr="00ED65ED">
              <w:rPr>
                <w:rFonts w:ascii="Arial" w:hAnsi="Arial" w:cs="Arial"/>
                <w:b/>
                <w:sz w:val="16"/>
                <w:szCs w:val="16"/>
              </w:rPr>
              <w:t xml:space="preserve">EMAIL </w:t>
            </w:r>
            <w:r w:rsidRPr="00ED65ED">
              <w:rPr>
                <w:rFonts w:ascii="Arial" w:hAnsi="Arial" w:cs="Arial"/>
                <w:b/>
                <w:sz w:val="16"/>
                <w:szCs w:val="16"/>
              </w:rPr>
              <w:tab/>
            </w:r>
          </w:p>
        </w:tc>
        <w:tc>
          <w:tcPr>
            <w:tcW w:w="3600" w:type="dxa"/>
          </w:tcPr>
          <w:p w14:paraId="088D7B14" w14:textId="2EA68E54" w:rsidR="00ED65ED" w:rsidRDefault="00C57954" w:rsidP="00ED65ED">
            <w:pPr>
              <w:rPr>
                <w:sz w:val="24"/>
                <w:szCs w:val="24"/>
              </w:rPr>
            </w:pPr>
            <w:bookmarkStart w:id="4" w:name="Email"/>
            <w:bookmarkEnd w:id="4"/>
            <w:r w:rsidRPr="00AB241A">
              <w:rPr>
                <w:sz w:val="24"/>
                <w:szCs w:val="24"/>
              </w:rPr>
              <w:t>singis@venable.com</w:t>
            </w:r>
          </w:p>
          <w:p w14:paraId="36B76438" w14:textId="77777777" w:rsidR="00C57954" w:rsidRPr="001E3081" w:rsidRDefault="00C57954" w:rsidP="00C57954">
            <w:pPr>
              <w:rPr>
                <w:sz w:val="24"/>
                <w:szCs w:val="24"/>
              </w:rPr>
            </w:pPr>
          </w:p>
        </w:tc>
      </w:tr>
      <w:tr w:rsidR="00ED65ED" w:rsidRPr="00ED65ED" w14:paraId="17A1DC0D" w14:textId="77777777" w:rsidTr="00EA482F">
        <w:trPr>
          <w:trHeight w:val="432"/>
        </w:trPr>
        <w:tc>
          <w:tcPr>
            <w:tcW w:w="810" w:type="dxa"/>
          </w:tcPr>
          <w:p w14:paraId="0C4153BC" w14:textId="77777777" w:rsidR="00ED65ED" w:rsidRPr="00ED65ED" w:rsidRDefault="00742EE0" w:rsidP="00ED65ED">
            <w:pPr>
              <w:spacing w:before="60"/>
              <w:rPr>
                <w:rFonts w:ascii="Arial" w:hAnsi="Arial" w:cs="Arial"/>
                <w:b/>
                <w:sz w:val="16"/>
                <w:szCs w:val="16"/>
              </w:rPr>
            </w:pPr>
            <w:r>
              <w:rPr>
                <w:rFonts w:ascii="Arial" w:hAnsi="Arial" w:cs="Arial"/>
                <w:b/>
                <w:sz w:val="16"/>
                <w:szCs w:val="16"/>
              </w:rPr>
              <w:t xml:space="preserve"> </w:t>
            </w:r>
          </w:p>
        </w:tc>
        <w:tc>
          <w:tcPr>
            <w:tcW w:w="4120" w:type="dxa"/>
          </w:tcPr>
          <w:p w14:paraId="41360640" w14:textId="77777777" w:rsidR="00ED65ED" w:rsidRPr="00ED65ED" w:rsidRDefault="00ED65ED" w:rsidP="00ED65ED">
            <w:pPr>
              <w:rPr>
                <w:sz w:val="24"/>
                <w:szCs w:val="24"/>
              </w:rPr>
            </w:pPr>
            <w:bookmarkStart w:id="5" w:name="CC"/>
            <w:bookmarkEnd w:id="5"/>
          </w:p>
        </w:tc>
        <w:tc>
          <w:tcPr>
            <w:tcW w:w="830" w:type="dxa"/>
          </w:tcPr>
          <w:p w14:paraId="509A8C82" w14:textId="77777777" w:rsidR="00ED65ED" w:rsidRPr="00ED65ED" w:rsidRDefault="00ED65ED" w:rsidP="00ED65ED">
            <w:pPr>
              <w:spacing w:before="60"/>
              <w:rPr>
                <w:rFonts w:ascii="Arial" w:hAnsi="Arial" w:cs="Arial"/>
                <w:b/>
                <w:sz w:val="16"/>
                <w:szCs w:val="16"/>
              </w:rPr>
            </w:pPr>
            <w:r w:rsidRPr="00ED65ED">
              <w:rPr>
                <w:rFonts w:ascii="Arial" w:hAnsi="Arial" w:cs="Arial"/>
                <w:b/>
                <w:sz w:val="16"/>
                <w:szCs w:val="16"/>
              </w:rPr>
              <w:t xml:space="preserve">PHONE </w:t>
            </w:r>
            <w:r w:rsidRPr="00ED65ED">
              <w:rPr>
                <w:rFonts w:ascii="Arial" w:hAnsi="Arial" w:cs="Arial"/>
                <w:b/>
                <w:sz w:val="16"/>
                <w:szCs w:val="16"/>
              </w:rPr>
              <w:tab/>
            </w:r>
          </w:p>
        </w:tc>
        <w:tc>
          <w:tcPr>
            <w:tcW w:w="3600" w:type="dxa"/>
          </w:tcPr>
          <w:p w14:paraId="540D2719" w14:textId="77777777" w:rsidR="00ED65ED" w:rsidRPr="001E3081" w:rsidRDefault="00742EE0" w:rsidP="00220AFE">
            <w:pPr>
              <w:rPr>
                <w:sz w:val="24"/>
                <w:szCs w:val="24"/>
              </w:rPr>
            </w:pPr>
            <w:bookmarkStart w:id="6" w:name="Phone"/>
            <w:bookmarkEnd w:id="6"/>
            <w:r>
              <w:rPr>
                <w:sz w:val="24"/>
                <w:szCs w:val="24"/>
              </w:rPr>
              <w:t>202.344.</w:t>
            </w:r>
            <w:r w:rsidR="00D1526D">
              <w:rPr>
                <w:sz w:val="24"/>
                <w:szCs w:val="24"/>
              </w:rPr>
              <w:t>4613</w:t>
            </w:r>
          </w:p>
        </w:tc>
      </w:tr>
      <w:tr w:rsidR="00ED65ED" w:rsidRPr="00ED65ED" w14:paraId="5EE75080" w14:textId="77777777" w:rsidTr="00EA482F">
        <w:trPr>
          <w:trHeight w:val="432"/>
        </w:trPr>
        <w:tc>
          <w:tcPr>
            <w:tcW w:w="810" w:type="dxa"/>
          </w:tcPr>
          <w:p w14:paraId="37839CC4" w14:textId="77777777" w:rsidR="00ED65ED" w:rsidRPr="00ED65ED" w:rsidRDefault="00ED65ED" w:rsidP="00ED65ED">
            <w:pPr>
              <w:spacing w:before="60"/>
              <w:ind w:left="720" w:hanging="720"/>
              <w:rPr>
                <w:rFonts w:ascii="Arial" w:hAnsi="Arial" w:cs="Arial"/>
                <w:b/>
                <w:sz w:val="16"/>
                <w:szCs w:val="16"/>
              </w:rPr>
            </w:pPr>
            <w:r w:rsidRPr="00ED65ED">
              <w:rPr>
                <w:rFonts w:ascii="Arial" w:hAnsi="Arial" w:cs="Arial"/>
                <w:b/>
                <w:sz w:val="16"/>
                <w:szCs w:val="16"/>
              </w:rPr>
              <w:t xml:space="preserve">RE </w:t>
            </w:r>
            <w:r w:rsidRPr="00ED65ED">
              <w:rPr>
                <w:rFonts w:ascii="Arial" w:hAnsi="Arial" w:cs="Arial"/>
                <w:b/>
                <w:sz w:val="16"/>
                <w:szCs w:val="16"/>
              </w:rPr>
              <w:tab/>
            </w:r>
          </w:p>
        </w:tc>
        <w:tc>
          <w:tcPr>
            <w:tcW w:w="8550" w:type="dxa"/>
            <w:gridSpan w:val="3"/>
          </w:tcPr>
          <w:p w14:paraId="4F21CDF7" w14:textId="2410E9CE" w:rsidR="00ED65ED" w:rsidRPr="001E3081" w:rsidRDefault="00F40360" w:rsidP="00560EB6">
            <w:pPr>
              <w:rPr>
                <w:sz w:val="24"/>
                <w:szCs w:val="24"/>
              </w:rPr>
            </w:pPr>
            <w:bookmarkStart w:id="7" w:name="Re"/>
            <w:bookmarkEnd w:id="7"/>
            <w:r>
              <w:rPr>
                <w:sz w:val="24"/>
                <w:szCs w:val="24"/>
              </w:rPr>
              <w:t>House</w:t>
            </w:r>
            <w:r w:rsidR="00D1526D">
              <w:rPr>
                <w:sz w:val="24"/>
                <w:szCs w:val="24"/>
              </w:rPr>
              <w:t xml:space="preserve"> </w:t>
            </w:r>
            <w:r>
              <w:rPr>
                <w:sz w:val="24"/>
                <w:szCs w:val="24"/>
              </w:rPr>
              <w:t>Subc</w:t>
            </w:r>
            <w:r w:rsidR="00586C31">
              <w:rPr>
                <w:sz w:val="24"/>
                <w:szCs w:val="24"/>
              </w:rPr>
              <w:t xml:space="preserve">ommittee </w:t>
            </w:r>
            <w:r w:rsidR="00742EE0">
              <w:rPr>
                <w:sz w:val="24"/>
                <w:szCs w:val="24"/>
              </w:rPr>
              <w:t>Hearing</w:t>
            </w:r>
            <w:r w:rsidR="00560EB6">
              <w:rPr>
                <w:sz w:val="24"/>
                <w:szCs w:val="24"/>
              </w:rPr>
              <w:t>s</w:t>
            </w:r>
            <w:r w:rsidR="00742EE0">
              <w:rPr>
                <w:sz w:val="24"/>
                <w:szCs w:val="24"/>
              </w:rPr>
              <w:t xml:space="preserve"> on </w:t>
            </w:r>
            <w:r w:rsidR="00560EB6">
              <w:rPr>
                <w:sz w:val="24"/>
                <w:szCs w:val="24"/>
              </w:rPr>
              <w:t xml:space="preserve">U.S.-EU </w:t>
            </w:r>
            <w:r w:rsidR="001C26F8">
              <w:rPr>
                <w:sz w:val="24"/>
                <w:szCs w:val="24"/>
              </w:rPr>
              <w:t>Safe Harbor</w:t>
            </w:r>
            <w:r w:rsidR="00560EB6">
              <w:rPr>
                <w:sz w:val="24"/>
                <w:szCs w:val="24"/>
              </w:rPr>
              <w:t xml:space="preserve"> and International Data Flows</w:t>
            </w:r>
          </w:p>
        </w:tc>
      </w:tr>
    </w:tbl>
    <w:p w14:paraId="7F29F34D" w14:textId="653F45ED" w:rsidR="006C3E97" w:rsidRDefault="00ED3904" w:rsidP="006C3E97">
      <w:pPr>
        <w:spacing w:before="240"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On </w:t>
      </w:r>
      <w:r w:rsidR="00122E14">
        <w:rPr>
          <w:rFonts w:ascii="Times New Roman" w:eastAsia="Times New Roman" w:hAnsi="Times New Roman" w:cs="Times New Roman"/>
          <w:sz w:val="24"/>
          <w:szCs w:val="20"/>
        </w:rPr>
        <w:t xml:space="preserve">November 3, 2015, </w:t>
      </w:r>
      <w:r w:rsidR="00B42F85">
        <w:rPr>
          <w:rFonts w:ascii="Times New Roman" w:eastAsia="Times New Roman" w:hAnsi="Times New Roman" w:cs="Times New Roman"/>
          <w:sz w:val="24"/>
          <w:szCs w:val="20"/>
        </w:rPr>
        <w:t>two subcommittee hearings on the U.S.-EU Safe Harbor and cross-border data flows were held in the U.S. House of Representatives.</w:t>
      </w:r>
      <w:r w:rsidR="006C3E97">
        <w:rPr>
          <w:rFonts w:ascii="Times New Roman" w:eastAsia="Times New Roman" w:hAnsi="Times New Roman" w:cs="Times New Roman"/>
          <w:sz w:val="24"/>
          <w:szCs w:val="20"/>
        </w:rPr>
        <w:t xml:space="preserve">  </w:t>
      </w:r>
      <w:r w:rsidR="00017539">
        <w:rPr>
          <w:rFonts w:ascii="Times New Roman" w:eastAsia="Times New Roman" w:hAnsi="Times New Roman" w:cs="Times New Roman"/>
          <w:sz w:val="24"/>
          <w:szCs w:val="20"/>
        </w:rPr>
        <w:t>We have provided below</w:t>
      </w:r>
      <w:r w:rsidR="006C3E97">
        <w:rPr>
          <w:rFonts w:ascii="Times New Roman" w:eastAsia="Times New Roman" w:hAnsi="Times New Roman" w:cs="Times New Roman"/>
          <w:sz w:val="24"/>
          <w:szCs w:val="20"/>
        </w:rPr>
        <w:t xml:space="preserve"> a summary of the House Energy and Commerce Joint Subcommittee hearing, followed by a summary of the House Judiciary Subcommittee hearing.</w:t>
      </w:r>
    </w:p>
    <w:p w14:paraId="60AA8C0E" w14:textId="1E10AABD" w:rsidR="00DC098B" w:rsidRPr="00B42F85" w:rsidRDefault="00DC098B" w:rsidP="00B42A5E">
      <w:pPr>
        <w:spacing w:before="240" w:after="24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House Energy and Commerce Joint Subcommittee Hearing</w:t>
      </w:r>
    </w:p>
    <w:p w14:paraId="4E6FE5B5" w14:textId="7D6BC981" w:rsidR="00122E14" w:rsidRDefault="006C3E97" w:rsidP="00122E14">
      <w:pPr>
        <w:pStyle w:val="BodyText"/>
        <w:ind w:firstLine="720"/>
      </w:pPr>
      <w:r>
        <w:t>T</w:t>
      </w:r>
      <w:r w:rsidR="00122E14">
        <w:t>he U.S. House Committee on Energy and Commerce Subcommittee on Commerce, Manufacturing, and Trade (“Trade Subcommittee</w:t>
      </w:r>
      <w:r w:rsidR="0001308D">
        <w:t>”</w:t>
      </w:r>
      <w:r w:rsidR="00122E14">
        <w:t>) and Subcommittee on Communications and Technology (“Technology Subcommittee”) held a joint hearing entitled “</w:t>
      </w:r>
      <w:r w:rsidR="00122E14" w:rsidRPr="00500ADF">
        <w:t>Examining the EU Safe Harbor Decision and Impacts for Transatlantic Data Flows</w:t>
      </w:r>
      <w:r w:rsidR="00122E14">
        <w:t xml:space="preserve">.”  Members of the Subcommittees and panelists discussed the economic impact of cross border data flows; the trade relationship between </w:t>
      </w:r>
      <w:r w:rsidR="00291A87">
        <w:t>the United States</w:t>
      </w:r>
      <w:r w:rsidR="00122E14">
        <w:t xml:space="preserve"> and </w:t>
      </w:r>
      <w:r w:rsidR="0001308D">
        <w:t xml:space="preserve">the </w:t>
      </w:r>
      <w:r w:rsidR="00122E14">
        <w:t xml:space="preserve">EU; the legal challenges of renegotiating the </w:t>
      </w:r>
      <w:r w:rsidR="00291A87">
        <w:t xml:space="preserve">U.S.-EU Safe Harbor Agreement (“Safe Harbor”) </w:t>
      </w:r>
      <w:r w:rsidR="001A365D">
        <w:t>following the Snowden disclosures</w:t>
      </w:r>
      <w:r w:rsidR="00122E14">
        <w:t xml:space="preserve">; and the </w:t>
      </w:r>
      <w:r w:rsidR="00122E14" w:rsidRPr="0058606E">
        <w:rPr>
          <w:i/>
        </w:rPr>
        <w:t>Maximillian Schrems v</w:t>
      </w:r>
      <w:r w:rsidR="00122E14">
        <w:rPr>
          <w:i/>
        </w:rPr>
        <w:t>.</w:t>
      </w:r>
      <w:r w:rsidR="00122E14" w:rsidRPr="0058606E">
        <w:rPr>
          <w:i/>
        </w:rPr>
        <w:t xml:space="preserve"> Data Protection Commissioner</w:t>
      </w:r>
      <w:r w:rsidR="00122E14">
        <w:t xml:space="preserve"> (“</w:t>
      </w:r>
      <w:r w:rsidR="00122E14" w:rsidRPr="0058606E">
        <w:rPr>
          <w:i/>
        </w:rPr>
        <w:t>Schrems</w:t>
      </w:r>
      <w:r w:rsidR="00122E14" w:rsidRPr="00264822">
        <w:t>”</w:t>
      </w:r>
      <w:r w:rsidR="00122E14">
        <w:t xml:space="preserve">) ruling that </w:t>
      </w:r>
      <w:r w:rsidR="0001308D">
        <w:t>invalidated</w:t>
      </w:r>
      <w:r w:rsidR="00700FA7">
        <w:t xml:space="preserve"> the Safe Harbor</w:t>
      </w:r>
      <w:r w:rsidR="00122E14">
        <w:t xml:space="preserve">.  </w:t>
      </w:r>
    </w:p>
    <w:p w14:paraId="35CC2799" w14:textId="27ADEC0E" w:rsidR="00122E14" w:rsidRDefault="00122E14" w:rsidP="00122E14">
      <w:pPr>
        <w:pStyle w:val="BodyText"/>
        <w:ind w:firstLine="720"/>
      </w:pPr>
      <w:r>
        <w:t xml:space="preserve">The hearing featured the following witnesses: (1) </w:t>
      </w:r>
      <w:r w:rsidR="003A0DA7">
        <w:rPr>
          <w:rFonts w:eastAsia="Times New Roman" w:cs="Times New Roman"/>
          <w:szCs w:val="20"/>
        </w:rPr>
        <w:t>Victoria Espinel, President and CEO, BSA | The Software Alliance</w:t>
      </w:r>
      <w:r>
        <w:t xml:space="preserve">; (2) </w:t>
      </w:r>
      <w:r w:rsidRPr="00E726DF">
        <w:t>Joshua Meltzer</w:t>
      </w:r>
      <w:r>
        <w:t>,</w:t>
      </w:r>
      <w:r w:rsidRPr="00E726DF">
        <w:t xml:space="preserve"> Senior Fellow Global Economy and Development</w:t>
      </w:r>
      <w:r>
        <w:t>,</w:t>
      </w:r>
      <w:r w:rsidRPr="00E726DF">
        <w:t xml:space="preserve"> The Brookings Institute</w:t>
      </w:r>
      <w:r>
        <w:t xml:space="preserve">; (3) </w:t>
      </w:r>
      <w:r w:rsidRPr="00E726DF">
        <w:t>John Murphy</w:t>
      </w:r>
      <w:r>
        <w:t>,</w:t>
      </w:r>
      <w:r w:rsidRPr="00E726DF">
        <w:t xml:space="preserve"> Senior Vice President for International Policy</w:t>
      </w:r>
      <w:r>
        <w:t>,</w:t>
      </w:r>
      <w:r w:rsidRPr="00E726DF">
        <w:t xml:space="preserve"> U.S. Chamber of Commerce</w:t>
      </w:r>
      <w:r>
        <w:t xml:space="preserve">; (4) </w:t>
      </w:r>
      <w:r w:rsidRPr="00E726DF">
        <w:t>Marc Rotenberg</w:t>
      </w:r>
      <w:r>
        <w:t>,</w:t>
      </w:r>
      <w:r w:rsidRPr="00E726DF">
        <w:t xml:space="preserve"> President</w:t>
      </w:r>
      <w:r>
        <w:t>,</w:t>
      </w:r>
      <w:r w:rsidRPr="00E726DF">
        <w:t xml:space="preserve"> Electronic Privacy Information Center</w:t>
      </w:r>
      <w:r>
        <w:t xml:space="preserve">. </w:t>
      </w:r>
    </w:p>
    <w:p w14:paraId="7417E010" w14:textId="77777777" w:rsidR="00122E14" w:rsidRPr="0066735E" w:rsidRDefault="00122E14" w:rsidP="00122E14">
      <w:pPr>
        <w:pStyle w:val="BodyText"/>
        <w:numPr>
          <w:ilvl w:val="0"/>
          <w:numId w:val="3"/>
        </w:numPr>
        <w:rPr>
          <w:b/>
        </w:rPr>
      </w:pPr>
      <w:r w:rsidRPr="0066735E">
        <w:rPr>
          <w:b/>
        </w:rPr>
        <w:t>Opening State</w:t>
      </w:r>
      <w:r>
        <w:rPr>
          <w:b/>
        </w:rPr>
        <w:t>ments of Subc</w:t>
      </w:r>
      <w:r w:rsidRPr="0066735E">
        <w:rPr>
          <w:b/>
        </w:rPr>
        <w:t>ommittee Members</w:t>
      </w:r>
    </w:p>
    <w:p w14:paraId="52FBAA97" w14:textId="0D3FA098" w:rsidR="00122E14" w:rsidRDefault="00122E14" w:rsidP="00122E14">
      <w:pPr>
        <w:pStyle w:val="BodyText"/>
        <w:ind w:firstLine="720"/>
      </w:pPr>
      <w:r w:rsidRPr="00E256DF">
        <w:rPr>
          <w:b/>
          <w:i/>
        </w:rPr>
        <w:t>Committee Chairman Fred Upton (R-MI)</w:t>
      </w:r>
      <w:r>
        <w:t xml:space="preserve"> discussed the mutually beneficial nature of U.S.-EU trade and urged members of Congress to refrain from leveraging the </w:t>
      </w:r>
      <w:r w:rsidRPr="0058606E">
        <w:rPr>
          <w:i/>
        </w:rPr>
        <w:t>Schrems</w:t>
      </w:r>
      <w:r>
        <w:t xml:space="preserve"> ruling as a political tool to address controversial privacy and data protection matters. </w:t>
      </w:r>
      <w:r w:rsidR="00017539">
        <w:t xml:space="preserve"> </w:t>
      </w:r>
      <w:r>
        <w:t xml:space="preserve">He advocated for the speedy adoption of </w:t>
      </w:r>
      <w:r w:rsidR="001A365D">
        <w:t>a</w:t>
      </w:r>
      <w:r>
        <w:t xml:space="preserve"> S</w:t>
      </w:r>
      <w:r w:rsidR="00291A87">
        <w:t>afe Harbor 2.0</w:t>
      </w:r>
      <w:r w:rsidR="001A365D">
        <w:t xml:space="preserve"> agreement</w:t>
      </w:r>
      <w:r>
        <w:t xml:space="preserve">. </w:t>
      </w:r>
    </w:p>
    <w:p w14:paraId="1BCC4889" w14:textId="7DF0312A" w:rsidR="00122E14" w:rsidRDefault="00122E14" w:rsidP="00122E14">
      <w:pPr>
        <w:pStyle w:val="BodyText"/>
        <w:ind w:firstLine="720"/>
      </w:pPr>
      <w:r w:rsidRPr="00E256DF">
        <w:rPr>
          <w:b/>
          <w:i/>
        </w:rPr>
        <w:t>Committee Ranking Member Frank Pallone (D-NJ)</w:t>
      </w:r>
      <w:r>
        <w:t xml:space="preserve"> asserted that the movement of data </w:t>
      </w:r>
      <w:r w:rsidR="001A365D">
        <w:t>a</w:t>
      </w:r>
      <w:r>
        <w:t xml:space="preserve">ffects all global consumers and businesses and is essential to the American economy. </w:t>
      </w:r>
      <w:r w:rsidR="00017539">
        <w:t xml:space="preserve"> </w:t>
      </w:r>
      <w:r>
        <w:t>He advocated for updating base</w:t>
      </w:r>
      <w:r w:rsidR="00291A87">
        <w:t>line privacy standards in the United States</w:t>
      </w:r>
      <w:r>
        <w:t xml:space="preserve"> to address new technological developments and </w:t>
      </w:r>
      <w:r w:rsidR="001A365D">
        <w:t xml:space="preserve">to </w:t>
      </w:r>
      <w:r>
        <w:t xml:space="preserve">build trust with consumers. </w:t>
      </w:r>
    </w:p>
    <w:p w14:paraId="070775E8" w14:textId="2B1E5B31" w:rsidR="00122E14" w:rsidRDefault="00122E14" w:rsidP="00122E14">
      <w:pPr>
        <w:pStyle w:val="BodyText"/>
        <w:ind w:firstLine="720"/>
      </w:pPr>
      <w:r w:rsidRPr="00E256DF">
        <w:rPr>
          <w:b/>
          <w:i/>
        </w:rPr>
        <w:t>Trade Subcommittee Chairman Michael Burgess (R-TX)</w:t>
      </w:r>
      <w:r w:rsidR="00017539">
        <w:t xml:space="preserve"> emphasized that the United States</w:t>
      </w:r>
      <w:r>
        <w:t xml:space="preserve"> and the EU have </w:t>
      </w:r>
      <w:r w:rsidR="001A365D">
        <w:t xml:space="preserve">a </w:t>
      </w:r>
      <w:r>
        <w:t>mutual agreement on privacy and data security principles.</w:t>
      </w:r>
      <w:r w:rsidR="00017539">
        <w:t xml:space="preserve"> </w:t>
      </w:r>
      <w:r>
        <w:t xml:space="preserve"> He thanked </w:t>
      </w:r>
      <w:r>
        <w:lastRenderedPageBreak/>
        <w:t xml:space="preserve">the </w:t>
      </w:r>
      <w:r w:rsidR="001A365D">
        <w:t xml:space="preserve">Department of Commerce (“DOC”) </w:t>
      </w:r>
      <w:r>
        <w:t xml:space="preserve">for its continued effort to negotiate </w:t>
      </w:r>
      <w:r w:rsidR="001A365D">
        <w:t xml:space="preserve">a </w:t>
      </w:r>
      <w:r>
        <w:t xml:space="preserve">Safe Harbor 2.0 </w:t>
      </w:r>
      <w:r w:rsidR="001A365D">
        <w:t xml:space="preserve">agreement </w:t>
      </w:r>
      <w:r>
        <w:t xml:space="preserve">and praised the enforcement work of the Federal Trade Commission (“FTC”). </w:t>
      </w:r>
      <w:r w:rsidR="00017539">
        <w:t xml:space="preserve"> </w:t>
      </w:r>
      <w:r>
        <w:t xml:space="preserve">Trade Subcommittee Chairman Burgess encouraged the </w:t>
      </w:r>
      <w:r w:rsidR="00017539">
        <w:t>DOC</w:t>
      </w:r>
      <w:r>
        <w:t xml:space="preserve"> to make every effort to secure an agreement </w:t>
      </w:r>
      <w:r w:rsidR="00017539">
        <w:t>in advance of the January 31</w:t>
      </w:r>
      <w:r>
        <w:t>, 2016 deadline when EU agencies will begin enforcing the</w:t>
      </w:r>
      <w:r w:rsidRPr="00E8244F">
        <w:rPr>
          <w:i/>
        </w:rPr>
        <w:t xml:space="preserve"> </w:t>
      </w:r>
      <w:r w:rsidRPr="0058606E">
        <w:rPr>
          <w:i/>
        </w:rPr>
        <w:t>Schrems</w:t>
      </w:r>
      <w:r>
        <w:t xml:space="preserve"> decision. </w:t>
      </w:r>
    </w:p>
    <w:p w14:paraId="4442F95B" w14:textId="6CCF1DD3" w:rsidR="00122E14" w:rsidRDefault="00122E14" w:rsidP="00122E14">
      <w:pPr>
        <w:pStyle w:val="BodyText"/>
        <w:ind w:firstLine="720"/>
      </w:pPr>
      <w:r w:rsidRPr="00E256DF">
        <w:rPr>
          <w:b/>
          <w:i/>
        </w:rPr>
        <w:t>Trade Subcommittee Ranking Member Jan Schakowsky (D-IL)</w:t>
      </w:r>
      <w:r>
        <w:t xml:space="preserve"> asserted that the value of a U.S.-EU Safe Harbor Agreement cannot be overstated. </w:t>
      </w:r>
      <w:r w:rsidR="00017539">
        <w:t xml:space="preserve"> </w:t>
      </w:r>
      <w:r w:rsidRPr="0058606E">
        <w:t xml:space="preserve">Trade Subcommittee Ranking Member Schakowsky </w:t>
      </w:r>
      <w:r>
        <w:t xml:space="preserve">stated that she plans to introduce legislation regulating security standards for personal data including geolocation, health, and biometric data, as well as email and social media account information. </w:t>
      </w:r>
      <w:r w:rsidR="00291A87">
        <w:t xml:space="preserve"> </w:t>
      </w:r>
      <w:r>
        <w:t>She stated that the legislation would also require breached entities to report data breach</w:t>
      </w:r>
      <w:r w:rsidR="001A365D">
        <w:t>es</w:t>
      </w:r>
      <w:r>
        <w:t xml:space="preserve"> to consumers within thirty days</w:t>
      </w:r>
      <w:r w:rsidR="00017539">
        <w:t>.</w:t>
      </w:r>
    </w:p>
    <w:p w14:paraId="5864FB1D" w14:textId="4453CB08" w:rsidR="00122E14" w:rsidRPr="003462ED" w:rsidRDefault="00122E14" w:rsidP="00122E14">
      <w:pPr>
        <w:pStyle w:val="BodyText"/>
        <w:ind w:firstLine="720"/>
      </w:pPr>
      <w:r w:rsidRPr="00E256DF">
        <w:rPr>
          <w:b/>
          <w:i/>
        </w:rPr>
        <w:t>Technology Subcommittee Chairman Greg Walden (R-OR)</w:t>
      </w:r>
      <w:r>
        <w:rPr>
          <w:b/>
        </w:rPr>
        <w:t xml:space="preserve"> </w:t>
      </w:r>
      <w:r>
        <w:t xml:space="preserve">highlighted the benefits of cross border data flows for small and medium sized companies, suggesting that the free flow of </w:t>
      </w:r>
      <w:r w:rsidR="00871C07">
        <w:t>data</w:t>
      </w:r>
      <w:r>
        <w:t xml:space="preserve"> allows companies to reach new markets.</w:t>
      </w:r>
      <w:r w:rsidR="00291A87">
        <w:t xml:space="preserve"> </w:t>
      </w:r>
      <w:r>
        <w:t xml:space="preserve"> He stated that without a valid Safe Harbor Agreement, small and medium sized companies will face higher costs associated with privacy and data security compliance efforts. </w:t>
      </w:r>
    </w:p>
    <w:p w14:paraId="35026652" w14:textId="60B82A67" w:rsidR="00122E14" w:rsidRDefault="00122E14" w:rsidP="00122E14">
      <w:pPr>
        <w:pStyle w:val="BodyText"/>
        <w:ind w:firstLine="720"/>
      </w:pPr>
      <w:r w:rsidRPr="00E256DF">
        <w:rPr>
          <w:b/>
          <w:i/>
        </w:rPr>
        <w:t>Technology Subcommittee Vice Chairman Bob Latta (R-OH)</w:t>
      </w:r>
      <w:r>
        <w:t xml:space="preserve"> stated that a Safe Harbor A</w:t>
      </w:r>
      <w:r w:rsidR="00291A87">
        <w:t>greement between the United States</w:t>
      </w:r>
      <w:r>
        <w:t xml:space="preserve"> and </w:t>
      </w:r>
      <w:r w:rsidR="001A365D">
        <w:t xml:space="preserve">the </w:t>
      </w:r>
      <w:r>
        <w:t xml:space="preserve">EU provides enhanced marketplace stability and greater protections for consumer data. </w:t>
      </w:r>
    </w:p>
    <w:p w14:paraId="381C2903" w14:textId="7B2E41A5" w:rsidR="00122E14" w:rsidRPr="003462ED" w:rsidRDefault="00122E14" w:rsidP="00122E14">
      <w:pPr>
        <w:pStyle w:val="BodyText"/>
        <w:ind w:firstLine="720"/>
      </w:pPr>
      <w:r w:rsidRPr="00E256DF">
        <w:rPr>
          <w:b/>
          <w:i/>
        </w:rPr>
        <w:t>Technology Subcommittee Ranking Member Anna Eshoo (D-CA)</w:t>
      </w:r>
      <w:r>
        <w:rPr>
          <w:b/>
        </w:rPr>
        <w:t xml:space="preserve"> </w:t>
      </w:r>
      <w:r>
        <w:t>asserted that companies need guidance on regulatory and enforcement practices</w:t>
      </w:r>
      <w:r w:rsidR="001A365D">
        <w:t xml:space="preserve"> following</w:t>
      </w:r>
      <w:r>
        <w:t xml:space="preserve"> the </w:t>
      </w:r>
      <w:r w:rsidRPr="0058606E">
        <w:rPr>
          <w:i/>
        </w:rPr>
        <w:t>Schrems</w:t>
      </w:r>
      <w:r>
        <w:t xml:space="preserve"> ruling. </w:t>
      </w:r>
      <w:r w:rsidR="00291A87">
        <w:t xml:space="preserve"> </w:t>
      </w:r>
      <w:r>
        <w:t xml:space="preserve">She stated that the magnitude of the </w:t>
      </w:r>
      <w:r w:rsidRPr="0058606E">
        <w:rPr>
          <w:i/>
        </w:rPr>
        <w:t>Schrems</w:t>
      </w:r>
      <w:r>
        <w:t xml:space="preserve"> decision reaches beyond U.S.-EU relations and implicates both trade and privacy policy on a global scale. </w:t>
      </w:r>
      <w:r w:rsidRPr="00264822">
        <w:t xml:space="preserve">Technology Subcommittee Ranking Member Eshoo </w:t>
      </w:r>
      <w:r>
        <w:t xml:space="preserve">urged the Obama Administration to reach </w:t>
      </w:r>
      <w:r w:rsidR="001A365D">
        <w:t>a Safe Harbor 2.0 agreement</w:t>
      </w:r>
      <w:r>
        <w:t xml:space="preserve"> as swiftly as possible. </w:t>
      </w:r>
    </w:p>
    <w:p w14:paraId="2B5E2E09" w14:textId="389947B6" w:rsidR="00122E14" w:rsidRPr="00141081" w:rsidRDefault="00122E14" w:rsidP="00122E14">
      <w:pPr>
        <w:pStyle w:val="BodyText"/>
        <w:ind w:firstLine="720"/>
      </w:pPr>
      <w:r w:rsidRPr="00E256DF">
        <w:rPr>
          <w:b/>
          <w:i/>
        </w:rPr>
        <w:t>Rep. Marsha Blackburn (R-TN)</w:t>
      </w:r>
      <w:r>
        <w:rPr>
          <w:b/>
        </w:rPr>
        <w:t xml:space="preserve"> </w:t>
      </w:r>
      <w:r>
        <w:t>noted that data flows</w:t>
      </w:r>
      <w:r w:rsidR="00291A87">
        <w:t xml:space="preserve"> between the United Stated</w:t>
      </w:r>
      <w:r>
        <w:t xml:space="preserve"> and </w:t>
      </w:r>
      <w:r w:rsidR="001A365D">
        <w:t xml:space="preserve">the </w:t>
      </w:r>
      <w:r>
        <w:t>EU are significantly higher than the data flows between the U.S. and Asia.</w:t>
      </w:r>
      <w:r w:rsidR="00291A87">
        <w:t xml:space="preserve"> </w:t>
      </w:r>
      <w:r>
        <w:t xml:space="preserve"> She praised the legislative progress made in recent months related to privacy, data security, and enforcement, </w:t>
      </w:r>
      <w:r w:rsidR="001A365D">
        <w:t>including progress with respect to</w:t>
      </w:r>
      <w:r>
        <w:t xml:space="preserve"> the Judicial Redress Act (“H.R. 1428”). </w:t>
      </w:r>
    </w:p>
    <w:p w14:paraId="5718CFDB" w14:textId="77777777" w:rsidR="00122E14" w:rsidRPr="0066735E" w:rsidRDefault="00122E14" w:rsidP="00122E14">
      <w:pPr>
        <w:pStyle w:val="BodyText"/>
        <w:numPr>
          <w:ilvl w:val="0"/>
          <w:numId w:val="3"/>
        </w:numPr>
        <w:rPr>
          <w:b/>
        </w:rPr>
      </w:pPr>
      <w:r w:rsidRPr="0066735E">
        <w:rPr>
          <w:b/>
        </w:rPr>
        <w:t>Opening Statements of Witnesses</w:t>
      </w:r>
    </w:p>
    <w:p w14:paraId="6DEAF46D" w14:textId="469D2E0F" w:rsidR="00122E14" w:rsidRDefault="003A0DA7" w:rsidP="00122E14">
      <w:pPr>
        <w:pStyle w:val="BodyText"/>
        <w:ind w:firstLine="720"/>
      </w:pPr>
      <w:r>
        <w:rPr>
          <w:rFonts w:eastAsia="Times New Roman" w:cs="Times New Roman"/>
          <w:b/>
          <w:i/>
          <w:szCs w:val="20"/>
        </w:rPr>
        <w:t>Victoria Espinel, President and CEO, The Software Alliance,</w:t>
      </w:r>
      <w:r>
        <w:t xml:space="preserve"> </w:t>
      </w:r>
      <w:r w:rsidR="00122E14">
        <w:t xml:space="preserve">asserted that many businesses are struggling with legal uncertainty </w:t>
      </w:r>
      <w:r w:rsidR="001A365D">
        <w:t xml:space="preserve">left </w:t>
      </w:r>
      <w:r w:rsidR="00122E14">
        <w:t xml:space="preserve">in the wake of the </w:t>
      </w:r>
      <w:r w:rsidR="00122E14" w:rsidRPr="0058606E">
        <w:rPr>
          <w:i/>
        </w:rPr>
        <w:t>Schrems</w:t>
      </w:r>
      <w:r w:rsidR="00122E14">
        <w:t xml:space="preserve"> ruling. </w:t>
      </w:r>
      <w:r w:rsidR="00700FA7">
        <w:t xml:space="preserve"> </w:t>
      </w:r>
      <w:r w:rsidR="00122E14">
        <w:t>She suggested that Congress should build consensus to help reach a Safe Harbor 2.0 Agreement; ensure that companies will have adequate time to comply with new requirements; and explore regulatory options that advance the interests of all parties involved in a sustainable and long-term manner.</w:t>
      </w:r>
    </w:p>
    <w:p w14:paraId="69AFDAB4" w14:textId="4DD4C874" w:rsidR="00122E14" w:rsidRDefault="00122E14" w:rsidP="00122E14">
      <w:pPr>
        <w:pStyle w:val="BodyText"/>
        <w:ind w:firstLine="720"/>
      </w:pPr>
      <w:r w:rsidRPr="00E256DF">
        <w:rPr>
          <w:b/>
          <w:i/>
        </w:rPr>
        <w:t>Joshua Meltzer, Senior Fellow Global Economy and Development, The Brookings Institute,</w:t>
      </w:r>
      <w:r>
        <w:t xml:space="preserve"> discussed the implications of the </w:t>
      </w:r>
      <w:r w:rsidRPr="0058606E">
        <w:rPr>
          <w:i/>
        </w:rPr>
        <w:t>Schrems</w:t>
      </w:r>
      <w:r>
        <w:t xml:space="preserve"> ruling as it relates to investment between the </w:t>
      </w:r>
      <w:r>
        <w:lastRenderedPageBreak/>
        <w:t>U</w:t>
      </w:r>
      <w:r w:rsidR="00291A87">
        <w:t>nited States</w:t>
      </w:r>
      <w:r>
        <w:t xml:space="preserve"> and the EU. </w:t>
      </w:r>
      <w:r w:rsidR="00291A87">
        <w:t xml:space="preserve"> </w:t>
      </w:r>
      <w:r>
        <w:t>He stated that data flows enable the strong economic relationship between the U</w:t>
      </w:r>
      <w:r w:rsidR="00831C3A">
        <w:t>nited</w:t>
      </w:r>
      <w:r w:rsidR="00291A87">
        <w:t xml:space="preserve"> States</w:t>
      </w:r>
      <w:r>
        <w:t xml:space="preserve"> and the EU, but that the different approaches to privacy and data security regulation and enforcement increase legal uncertainty, risk, and economic challenges for transatlantic companies. </w:t>
      </w:r>
    </w:p>
    <w:p w14:paraId="1A6614D1" w14:textId="3455EF23" w:rsidR="00122E14" w:rsidRDefault="00122E14" w:rsidP="00122E14">
      <w:pPr>
        <w:pStyle w:val="BodyText"/>
        <w:ind w:firstLine="720"/>
      </w:pPr>
      <w:r w:rsidRPr="00E256DF">
        <w:rPr>
          <w:b/>
          <w:i/>
        </w:rPr>
        <w:t>Marc Rotenberg, President, Electronic Privacy Information Center,</w:t>
      </w:r>
      <w:r w:rsidRPr="002719D7">
        <w:rPr>
          <w:b/>
        </w:rPr>
        <w:t xml:space="preserve"> </w:t>
      </w:r>
      <w:r>
        <w:t xml:space="preserve">proposed establishing a consumer privacy bill of rights; updating the Privacy Act of 1974; establishing an independent agency focused on privacy and data security; and developing an international framework to address data flows between global trade partners. </w:t>
      </w:r>
    </w:p>
    <w:p w14:paraId="59395F34" w14:textId="139DB772" w:rsidR="00122E14" w:rsidRDefault="00122E14" w:rsidP="00122E14">
      <w:pPr>
        <w:pStyle w:val="BodyText"/>
        <w:ind w:firstLine="720"/>
      </w:pPr>
      <w:r w:rsidRPr="00E256DF">
        <w:rPr>
          <w:b/>
          <w:i/>
        </w:rPr>
        <w:t>John Murphy, Senior Vice President for International Policy, U.S. Chamber of Commerce,</w:t>
      </w:r>
      <w:r>
        <w:t xml:space="preserve"> asserted that it would be a heavy burden for companies to comply with twenty-eight conflicting regulatory and enforcement obligations</w:t>
      </w:r>
      <w:r w:rsidR="000F13A0">
        <w:t xml:space="preserve"> without </w:t>
      </w:r>
      <w:r w:rsidR="001A365D">
        <w:t xml:space="preserve">a </w:t>
      </w:r>
      <w:r w:rsidR="000F13A0">
        <w:t>S</w:t>
      </w:r>
      <w:r>
        <w:t xml:space="preserve">afe </w:t>
      </w:r>
      <w:r w:rsidR="000F13A0">
        <w:t>Harbor</w:t>
      </w:r>
      <w:r w:rsidR="001A365D">
        <w:t xml:space="preserve"> agreement</w:t>
      </w:r>
      <w:r>
        <w:t xml:space="preserve">. </w:t>
      </w:r>
      <w:r w:rsidR="000F13A0">
        <w:t xml:space="preserve"> </w:t>
      </w:r>
      <w:r>
        <w:t xml:space="preserve">He voiced his support for </w:t>
      </w:r>
      <w:r w:rsidR="001A365D">
        <w:t xml:space="preserve">a </w:t>
      </w:r>
      <w:r>
        <w:t xml:space="preserve">Safe Harbor 2.0, and </w:t>
      </w:r>
      <w:r w:rsidR="001A365D">
        <w:t>praised the House of Representatives for passing</w:t>
      </w:r>
      <w:r>
        <w:t xml:space="preserve"> H.R. 1428 and the Cybersecurity Information Sharing Act.</w:t>
      </w:r>
    </w:p>
    <w:p w14:paraId="09064076" w14:textId="77777777" w:rsidR="00122E14" w:rsidRPr="0066735E" w:rsidRDefault="00122E14" w:rsidP="00122E14">
      <w:pPr>
        <w:pStyle w:val="BodyText"/>
        <w:numPr>
          <w:ilvl w:val="0"/>
          <w:numId w:val="3"/>
        </w:numPr>
        <w:rPr>
          <w:b/>
        </w:rPr>
      </w:pPr>
      <w:r w:rsidRPr="0066735E">
        <w:rPr>
          <w:b/>
        </w:rPr>
        <w:t>Questioning</w:t>
      </w:r>
    </w:p>
    <w:p w14:paraId="15D67D2B" w14:textId="66227821" w:rsidR="00122E14" w:rsidRDefault="003A0DA7" w:rsidP="000F13A0">
      <w:pPr>
        <w:pStyle w:val="BodyText"/>
        <w:ind w:firstLine="720"/>
      </w:pPr>
      <w:r>
        <w:rPr>
          <w:b/>
          <w:i/>
        </w:rPr>
        <w:t xml:space="preserve">U.S.-EU </w:t>
      </w:r>
      <w:r w:rsidR="000F13A0">
        <w:rPr>
          <w:b/>
          <w:i/>
        </w:rPr>
        <w:t>Safe Harbor</w:t>
      </w:r>
      <w:r w:rsidR="00122E14" w:rsidRPr="004C25AE">
        <w:rPr>
          <w:b/>
        </w:rPr>
        <w:t>.</w:t>
      </w:r>
      <w:r w:rsidR="00122E14">
        <w:t xml:space="preserve"> </w:t>
      </w:r>
      <w:r w:rsidR="000F13A0">
        <w:t xml:space="preserve"> </w:t>
      </w:r>
      <w:r w:rsidR="00122E14" w:rsidRPr="000F7367">
        <w:t>Trade Subcommittee Ranking Member Schakowsky</w:t>
      </w:r>
      <w:r w:rsidR="00122E14" w:rsidRPr="003462ED">
        <w:rPr>
          <w:b/>
        </w:rPr>
        <w:t xml:space="preserve"> </w:t>
      </w:r>
      <w:r w:rsidR="00122E14">
        <w:t xml:space="preserve">inquired about the provisions that should be included </w:t>
      </w:r>
      <w:r w:rsidR="001A365D">
        <w:t xml:space="preserve">in </w:t>
      </w:r>
      <w:r w:rsidR="00122E14">
        <w:t>the Safe Harbor 2.0 Framework.</w:t>
      </w:r>
      <w:r w:rsidR="000F13A0">
        <w:t xml:space="preserve">  </w:t>
      </w:r>
      <w:r w:rsidR="00122E14">
        <w:t xml:space="preserve">Rotenberg stated that it will be critical to address the </w:t>
      </w:r>
      <w:r w:rsidR="00017539">
        <w:t>DOC</w:t>
      </w:r>
      <w:r w:rsidR="009E6599">
        <w:t>’s</w:t>
      </w:r>
      <w:r w:rsidR="00122E14">
        <w:t xml:space="preserve"> </w:t>
      </w:r>
      <w:r w:rsidR="009E6599">
        <w:t>and</w:t>
      </w:r>
      <w:r w:rsidR="00122E14">
        <w:t xml:space="preserve"> the FTC</w:t>
      </w:r>
      <w:r w:rsidR="009E6599">
        <w:t>’s</w:t>
      </w:r>
      <w:r w:rsidR="00122E14">
        <w:t xml:space="preserve"> </w:t>
      </w:r>
      <w:r w:rsidR="009E6599">
        <w:t>lack of</w:t>
      </w:r>
      <w:r w:rsidR="00122E14">
        <w:t xml:space="preserve"> authority over </w:t>
      </w:r>
      <w:r w:rsidR="009E6599">
        <w:t xml:space="preserve">the </w:t>
      </w:r>
      <w:r w:rsidR="00122E14">
        <w:t xml:space="preserve">surveillance activities called into question in the </w:t>
      </w:r>
      <w:r w:rsidR="00122E14" w:rsidRPr="0058606E">
        <w:rPr>
          <w:i/>
        </w:rPr>
        <w:t>Schrems</w:t>
      </w:r>
      <w:r w:rsidR="00122E14">
        <w:rPr>
          <w:i/>
        </w:rPr>
        <w:t xml:space="preserve"> </w:t>
      </w:r>
      <w:r w:rsidR="00122E14">
        <w:t xml:space="preserve">case. </w:t>
      </w:r>
      <w:r w:rsidR="000F13A0">
        <w:t xml:space="preserve"> </w:t>
      </w:r>
      <w:r w:rsidR="00122E14">
        <w:t xml:space="preserve">He </w:t>
      </w:r>
      <w:r w:rsidR="00871C07">
        <w:t>added</w:t>
      </w:r>
      <w:r w:rsidR="00122E14">
        <w:t xml:space="preserve"> that FTC enforcement authority is not strong enough, and suggested that Congress should consider the creation of an independent agency to regulate privacy and data security. </w:t>
      </w:r>
      <w:r w:rsidR="000F13A0">
        <w:t xml:space="preserve"> </w:t>
      </w:r>
      <w:r w:rsidR="00122E14" w:rsidRPr="000D7CAF">
        <w:t>Trade Subcommittee Chairman</w:t>
      </w:r>
      <w:r w:rsidR="00122E14" w:rsidRPr="00A85A8A">
        <w:rPr>
          <w:b/>
        </w:rPr>
        <w:t xml:space="preserve"> </w:t>
      </w:r>
      <w:r w:rsidR="00122E14">
        <w:t>Burgess inquired about the importance of reaching a Safe Harbor 2.0 Agreement.</w:t>
      </w:r>
      <w:r w:rsidR="000F13A0">
        <w:t xml:space="preserve">  </w:t>
      </w:r>
      <w:r w:rsidR="00122E14">
        <w:t>Murphy answered that reaching a</w:t>
      </w:r>
      <w:r w:rsidR="00871C07">
        <w:t>greement over a</w:t>
      </w:r>
      <w:r w:rsidR="00122E14">
        <w:t xml:space="preserve"> Safe Harbor</w:t>
      </w:r>
      <w:r w:rsidR="00871C07">
        <w:t xml:space="preserve"> 2.0</w:t>
      </w:r>
      <w:r w:rsidR="009E6599">
        <w:t xml:space="preserve"> </w:t>
      </w:r>
      <w:r w:rsidR="00122E14">
        <w:t>is indispensable because of the unparalleled investme</w:t>
      </w:r>
      <w:r w:rsidR="000F13A0">
        <w:t>nt relationship between the U</w:t>
      </w:r>
      <w:r w:rsidR="00831C3A">
        <w:t>nited States</w:t>
      </w:r>
      <w:r w:rsidR="00122E14">
        <w:t xml:space="preserve"> and the EU and the tremendous cost to businesses if an agreement is not reached. </w:t>
      </w:r>
      <w:r w:rsidR="000F13A0">
        <w:t xml:space="preserve"> </w:t>
      </w:r>
      <w:r w:rsidR="00122E14">
        <w:t xml:space="preserve">Rep. </w:t>
      </w:r>
      <w:r w:rsidR="00122E14" w:rsidRPr="004C25AE">
        <w:t xml:space="preserve">Yvette </w:t>
      </w:r>
      <w:r w:rsidR="00122E14">
        <w:t>Clarke (D-NY) asked the panel if there are available options for small and medium sized businesses to address global data flow without a Safe Harbor</w:t>
      </w:r>
      <w:r w:rsidR="009E6599">
        <w:t xml:space="preserve"> agreement</w:t>
      </w:r>
      <w:r w:rsidR="00122E14">
        <w:t>.</w:t>
      </w:r>
      <w:r w:rsidR="000F13A0">
        <w:t xml:space="preserve">  Espinel</w:t>
      </w:r>
      <w:r w:rsidR="00122E14">
        <w:t xml:space="preserve"> noted that some companies can build local data centers, but she stated that this is not an option for smaller companies.</w:t>
      </w:r>
      <w:r w:rsidR="000F13A0">
        <w:t xml:space="preserve">  </w:t>
      </w:r>
      <w:r w:rsidR="00122E14">
        <w:t xml:space="preserve">Murphy added that there are no viable alternatives for small businesses if </w:t>
      </w:r>
      <w:r w:rsidR="009E6599">
        <w:t xml:space="preserve">a </w:t>
      </w:r>
      <w:r w:rsidR="00122E14">
        <w:t>Safe Harbor 2.0</w:t>
      </w:r>
      <w:r w:rsidR="009E6599">
        <w:t xml:space="preserve"> agreement</w:t>
      </w:r>
      <w:r w:rsidR="00122E14">
        <w:t xml:space="preserve"> fail</w:t>
      </w:r>
      <w:r w:rsidR="000F13A0">
        <w:t>s</w:t>
      </w:r>
      <w:r w:rsidR="00122E14">
        <w:t xml:space="preserve">, </w:t>
      </w:r>
      <w:r w:rsidR="009E6599">
        <w:t>noting</w:t>
      </w:r>
      <w:r w:rsidR="00122E14">
        <w:t xml:space="preserve"> that binding corporate rules are prohibitively expensive a</w:t>
      </w:r>
      <w:r w:rsidR="000F13A0">
        <w:t>nd time consuming to implement.</w:t>
      </w:r>
    </w:p>
    <w:p w14:paraId="608C9B22" w14:textId="4108C6B4" w:rsidR="00122E14" w:rsidRDefault="00017539" w:rsidP="00122E14">
      <w:pPr>
        <w:pStyle w:val="BodyText"/>
        <w:ind w:firstLine="720"/>
      </w:pPr>
      <w:r>
        <w:rPr>
          <w:b/>
          <w:i/>
        </w:rPr>
        <w:t>DOC</w:t>
      </w:r>
      <w:r w:rsidR="00122E14">
        <w:rPr>
          <w:b/>
          <w:i/>
        </w:rPr>
        <w:t xml:space="preserve"> Negotiations.</w:t>
      </w:r>
      <w:r w:rsidR="00831C3A">
        <w:rPr>
          <w:b/>
          <w:i/>
        </w:rPr>
        <w:t xml:space="preserve"> </w:t>
      </w:r>
      <w:r w:rsidR="00122E14">
        <w:rPr>
          <w:b/>
          <w:i/>
        </w:rPr>
        <w:t xml:space="preserve"> </w:t>
      </w:r>
      <w:r w:rsidR="00122E14" w:rsidRPr="00921AB2">
        <w:t xml:space="preserve">Technology Subcommittee Chairman Walden </w:t>
      </w:r>
      <w:r w:rsidR="00122E14">
        <w:t xml:space="preserve">and Rep. Susan Brooks (R-IN) asked the panelists about the </w:t>
      </w:r>
      <w:r>
        <w:t>DOC</w:t>
      </w:r>
      <w:r w:rsidR="00122E14">
        <w:t xml:space="preserve"> efforts to negotiate Safe Harbor 2.0. </w:t>
      </w:r>
      <w:r w:rsidR="000F13A0">
        <w:t xml:space="preserve"> </w:t>
      </w:r>
      <w:r w:rsidR="00122E14">
        <w:t xml:space="preserve">Murphy praised the </w:t>
      </w:r>
      <w:r>
        <w:t>DOC</w:t>
      </w:r>
      <w:r w:rsidR="00122E14">
        <w:t xml:space="preserve"> for reaching out to </w:t>
      </w:r>
      <w:r w:rsidR="009E6599">
        <w:t xml:space="preserve">the </w:t>
      </w:r>
      <w:r w:rsidR="00122E14">
        <w:t>business sector.</w:t>
      </w:r>
      <w:r w:rsidR="000F13A0">
        <w:t xml:space="preserve">  Espinel</w:t>
      </w:r>
      <w:r w:rsidR="00122E14">
        <w:t xml:space="preserve"> urged Congress to support the </w:t>
      </w:r>
      <w:r>
        <w:t>DOC</w:t>
      </w:r>
      <w:r w:rsidR="00122E14">
        <w:t>.</w:t>
      </w:r>
      <w:r w:rsidR="00831C3A">
        <w:t xml:space="preserve"> </w:t>
      </w:r>
      <w:r w:rsidR="00122E14">
        <w:t xml:space="preserve"> She also emphasized that additional measures will need to be taken to establish a long term solution to address global data flows. </w:t>
      </w:r>
    </w:p>
    <w:p w14:paraId="5E9B8C7A" w14:textId="3A3FE8DF" w:rsidR="00122E14" w:rsidRDefault="00122E14" w:rsidP="00763524">
      <w:pPr>
        <w:pStyle w:val="BodyText"/>
        <w:ind w:firstLine="720"/>
      </w:pPr>
      <w:r>
        <w:rPr>
          <w:b/>
          <w:i/>
        </w:rPr>
        <w:t xml:space="preserve">Schrems v. </w:t>
      </w:r>
      <w:r w:rsidRPr="00C4727C">
        <w:rPr>
          <w:b/>
          <w:i/>
        </w:rPr>
        <w:t>Data Protection Commissioner</w:t>
      </w:r>
      <w:r>
        <w:rPr>
          <w:b/>
          <w:i/>
        </w:rPr>
        <w:t>.</w:t>
      </w:r>
      <w:r w:rsidR="00763524">
        <w:rPr>
          <w:b/>
          <w:i/>
        </w:rPr>
        <w:t xml:space="preserve"> </w:t>
      </w:r>
      <w:r>
        <w:rPr>
          <w:b/>
          <w:i/>
        </w:rPr>
        <w:t xml:space="preserve"> </w:t>
      </w:r>
      <w:r w:rsidRPr="00921AB2">
        <w:t xml:space="preserve">Technology Subcommittee Chairman Walden </w:t>
      </w:r>
      <w:r>
        <w:t xml:space="preserve">inquired about the impact of the </w:t>
      </w:r>
      <w:r w:rsidRPr="0058606E">
        <w:rPr>
          <w:i/>
        </w:rPr>
        <w:t>Schrems</w:t>
      </w:r>
      <w:r>
        <w:rPr>
          <w:i/>
        </w:rPr>
        <w:t xml:space="preserve"> </w:t>
      </w:r>
      <w:r>
        <w:t xml:space="preserve">ruling on foreign direct investment. </w:t>
      </w:r>
      <w:r w:rsidR="000F13A0">
        <w:t xml:space="preserve"> </w:t>
      </w:r>
      <w:r>
        <w:t xml:space="preserve">He stated that </w:t>
      </w:r>
      <w:r w:rsidR="00763524">
        <w:t xml:space="preserve">after the </w:t>
      </w:r>
      <w:r w:rsidR="00763524">
        <w:rPr>
          <w:i/>
        </w:rPr>
        <w:t xml:space="preserve">Schrems </w:t>
      </w:r>
      <w:r w:rsidR="00763524">
        <w:t xml:space="preserve">decision </w:t>
      </w:r>
      <w:r>
        <w:t>companies at all levels of foreign investment will need to review their processes as they pertain to data transfers, and that investments will face higher levels of risk and uncertainty</w:t>
      </w:r>
      <w:r w:rsidR="00763524">
        <w:t xml:space="preserve">.  </w:t>
      </w:r>
      <w:r w:rsidRPr="000D7CAF">
        <w:t>Trade Subcommittee Chairman</w:t>
      </w:r>
      <w:r w:rsidRPr="00A85A8A">
        <w:rPr>
          <w:b/>
        </w:rPr>
        <w:t xml:space="preserve"> </w:t>
      </w:r>
      <w:r>
        <w:t xml:space="preserve">Burgess inquired about the effect </w:t>
      </w:r>
      <w:r w:rsidR="009E6599">
        <w:t xml:space="preserve">of </w:t>
      </w:r>
      <w:r>
        <w:t xml:space="preserve">the </w:t>
      </w:r>
      <w:r w:rsidRPr="0058606E">
        <w:rPr>
          <w:i/>
        </w:rPr>
        <w:lastRenderedPageBreak/>
        <w:t>Schrems</w:t>
      </w:r>
      <w:r>
        <w:rPr>
          <w:i/>
        </w:rPr>
        <w:t xml:space="preserve"> </w:t>
      </w:r>
      <w:r>
        <w:t xml:space="preserve">ruling on small and medium sized businesses. </w:t>
      </w:r>
      <w:r w:rsidR="00763524">
        <w:t xml:space="preserve"> </w:t>
      </w:r>
      <w:r w:rsidR="000F13A0">
        <w:t>Espinel</w:t>
      </w:r>
      <w:r>
        <w:t xml:space="preserve"> stated that limiting data flows reduces efficiency and innovation in every economic sector</w:t>
      </w:r>
      <w:r w:rsidR="00763524">
        <w:t>.</w:t>
      </w:r>
      <w:r w:rsidRPr="00421587">
        <w:t xml:space="preserve"> </w:t>
      </w:r>
    </w:p>
    <w:p w14:paraId="2932C251" w14:textId="08BBC86D" w:rsidR="00122E14" w:rsidRDefault="00122E14" w:rsidP="00763524">
      <w:pPr>
        <w:pStyle w:val="BodyText"/>
        <w:ind w:firstLine="720"/>
      </w:pPr>
      <w:r w:rsidRPr="001D5D0A">
        <w:rPr>
          <w:b/>
          <w:i/>
        </w:rPr>
        <w:t>Government Surveillance.</w:t>
      </w:r>
      <w:r>
        <w:t xml:space="preserve"> </w:t>
      </w:r>
      <w:r w:rsidR="00831C3A">
        <w:t xml:space="preserve"> </w:t>
      </w:r>
      <w:r>
        <w:t xml:space="preserve">Rep. Jerry McNerney (D-CA) inquired about the practice of exceptional access, whereby authorized enforcement agencies use an encryption key to access data once they receive the appropriate warrant. </w:t>
      </w:r>
      <w:r w:rsidR="000F13A0">
        <w:t xml:space="preserve"> </w:t>
      </w:r>
      <w:r>
        <w:t xml:space="preserve">Rotenberg stated that encrypted data is still vulnerable to attacks by cyber criminals. </w:t>
      </w:r>
      <w:r w:rsidR="00763524">
        <w:t xml:space="preserve"> </w:t>
      </w:r>
      <w:r w:rsidRPr="005710BE">
        <w:t xml:space="preserve">Technology Subcommittee Ranking Member </w:t>
      </w:r>
      <w:r>
        <w:t xml:space="preserve">Eshoo asked if there should be any adjustment to the current government surveillance practices employed by the NSA. </w:t>
      </w:r>
      <w:r w:rsidR="000F13A0">
        <w:t xml:space="preserve"> </w:t>
      </w:r>
      <w:r>
        <w:t xml:space="preserve">Rotenberg stated that while the USA Freedom Act is a step toward addressing concerns about government surveillance, the law fails to address the collection of data </w:t>
      </w:r>
      <w:r w:rsidR="00BB68AB">
        <w:t>about</w:t>
      </w:r>
      <w:r>
        <w:t xml:space="preserve"> non-U.S. personnel</w:t>
      </w:r>
      <w:r w:rsidR="00763524">
        <w:t>.</w:t>
      </w:r>
    </w:p>
    <w:p w14:paraId="3418D390" w14:textId="7A6BA5EE" w:rsidR="00122E14" w:rsidRDefault="00122E14" w:rsidP="00763524">
      <w:pPr>
        <w:pStyle w:val="BodyText"/>
        <w:ind w:firstLine="720"/>
      </w:pPr>
      <w:r w:rsidRPr="001D5D0A">
        <w:rPr>
          <w:b/>
          <w:i/>
        </w:rPr>
        <w:t>U.S.-EU Privacy</w:t>
      </w:r>
      <w:r>
        <w:rPr>
          <w:b/>
          <w:i/>
        </w:rPr>
        <w:t xml:space="preserve"> and Data Security</w:t>
      </w:r>
      <w:r w:rsidRPr="001D5D0A">
        <w:rPr>
          <w:b/>
          <w:i/>
        </w:rPr>
        <w:t xml:space="preserve"> Law.</w:t>
      </w:r>
      <w:r>
        <w:t xml:space="preserve"> </w:t>
      </w:r>
      <w:r w:rsidR="00763524">
        <w:t xml:space="preserve"> </w:t>
      </w:r>
      <w:r w:rsidRPr="005710BE">
        <w:t>Rep. Brett Guthrie (R-KY)</w:t>
      </w:r>
      <w:r>
        <w:t xml:space="preserve"> inquired about differences in privacy and data security </w:t>
      </w:r>
      <w:r w:rsidR="00763524">
        <w:t>regulation in the United States</w:t>
      </w:r>
      <w:r>
        <w:t xml:space="preserve"> and the EU. </w:t>
      </w:r>
      <w:r w:rsidR="000F13A0">
        <w:t xml:space="preserve"> </w:t>
      </w:r>
      <w:r>
        <w:t>Rotenberg stated that there are more similariti</w:t>
      </w:r>
      <w:r w:rsidR="00763524">
        <w:t>es than differences between United States</w:t>
      </w:r>
      <w:r>
        <w:t xml:space="preserve"> and EU privacy and data security regulation. </w:t>
      </w:r>
      <w:r w:rsidR="00763524">
        <w:t xml:space="preserve"> </w:t>
      </w:r>
      <w:r>
        <w:t>He suggested that the Fair Credit Reporting Act and other laws provide a strong base for privacy and data</w:t>
      </w:r>
      <w:r w:rsidR="00763524">
        <w:t xml:space="preserve"> security protections in the United States.  </w:t>
      </w:r>
      <w:r>
        <w:t>He stressed that privacy regulation i</w:t>
      </w:r>
      <w:r w:rsidR="00763524">
        <w:t>n the United States</w:t>
      </w:r>
      <w:r>
        <w:t xml:space="preserve"> must be updated to account for developing technology.</w:t>
      </w:r>
      <w:r w:rsidR="00763524">
        <w:t xml:space="preserve">  </w:t>
      </w:r>
      <w:r>
        <w:t xml:space="preserve">Rep. Peter Welch (D-VT) and </w:t>
      </w:r>
      <w:r w:rsidRPr="00F24F6F">
        <w:t>Rep. John Shimkus (R-IL)</w:t>
      </w:r>
      <w:r>
        <w:t xml:space="preserve"> </w:t>
      </w:r>
      <w:r w:rsidR="00763524">
        <w:t xml:space="preserve">asked </w:t>
      </w:r>
      <w:r>
        <w:t>panelist</w:t>
      </w:r>
      <w:r w:rsidR="00BB68AB">
        <w:t>s</w:t>
      </w:r>
      <w:r>
        <w:t xml:space="preserve"> about government surveillance in the EU. </w:t>
      </w:r>
      <w:r w:rsidR="000F13A0">
        <w:t xml:space="preserve"> </w:t>
      </w:r>
      <w:r>
        <w:t>Meltzner asserted that</w:t>
      </w:r>
      <w:r w:rsidR="00763524">
        <w:t xml:space="preserve"> EU</w:t>
      </w:r>
      <w:r>
        <w:t xml:space="preserve"> government surveillance agencies engage in many of the same data collection practices as the NSA. </w:t>
      </w:r>
    </w:p>
    <w:p w14:paraId="3B2A6AF8" w14:textId="74F34974" w:rsidR="00122E14" w:rsidRDefault="00122E14" w:rsidP="00122E14">
      <w:pPr>
        <w:pStyle w:val="BodyText"/>
        <w:ind w:firstLine="720"/>
      </w:pPr>
      <w:r>
        <w:rPr>
          <w:b/>
          <w:i/>
        </w:rPr>
        <w:t xml:space="preserve">Additional </w:t>
      </w:r>
      <w:r w:rsidRPr="00C4727C">
        <w:rPr>
          <w:b/>
          <w:i/>
        </w:rPr>
        <w:t>Gl</w:t>
      </w:r>
      <w:r>
        <w:rPr>
          <w:b/>
          <w:i/>
        </w:rPr>
        <w:t xml:space="preserve">obal Action. </w:t>
      </w:r>
      <w:r w:rsidR="003A0DA7">
        <w:rPr>
          <w:b/>
          <w:i/>
        </w:rPr>
        <w:t xml:space="preserve"> </w:t>
      </w:r>
      <w:r w:rsidRPr="00921AB2">
        <w:t xml:space="preserve">Technology Subcommittee Chairman Walden </w:t>
      </w:r>
      <w:r>
        <w:t xml:space="preserve">and </w:t>
      </w:r>
      <w:r w:rsidRPr="006C2450">
        <w:t>Technology Subcommittee Vice Chairman Latta</w:t>
      </w:r>
      <w:r w:rsidRPr="00EA7AD6">
        <w:rPr>
          <w:b/>
        </w:rPr>
        <w:t xml:space="preserve"> </w:t>
      </w:r>
      <w:r>
        <w:t xml:space="preserve">asked if other countries are considering action on privacy and data collection similar to the </w:t>
      </w:r>
      <w:r w:rsidRPr="0058606E">
        <w:rPr>
          <w:i/>
        </w:rPr>
        <w:t>Schrems</w:t>
      </w:r>
      <w:r>
        <w:rPr>
          <w:i/>
        </w:rPr>
        <w:t xml:space="preserve"> </w:t>
      </w:r>
      <w:r>
        <w:t xml:space="preserve">case in the EU. </w:t>
      </w:r>
      <w:r w:rsidR="000F13A0">
        <w:t xml:space="preserve"> </w:t>
      </w:r>
      <w:r>
        <w:t xml:space="preserve">Rotenberg stressed that the establishment of fundamental privacy rights in different countries will impact every level of trade and global business. </w:t>
      </w:r>
      <w:r w:rsidR="000F13A0">
        <w:t xml:space="preserve"> </w:t>
      </w:r>
      <w:r>
        <w:t>Meltzer suggested leveraging Asia-Pacific Economic Cooperation principles to preempt similar action from other countries.</w:t>
      </w:r>
    </w:p>
    <w:p w14:paraId="783F00ED" w14:textId="77777777" w:rsidR="00B42F85" w:rsidRDefault="00B42F85">
      <w:pPr>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br w:type="page"/>
      </w:r>
    </w:p>
    <w:p w14:paraId="76B197D1" w14:textId="21348E2C" w:rsidR="00122E14" w:rsidRDefault="00122E14" w:rsidP="00B42A5E">
      <w:pPr>
        <w:spacing w:before="240" w:after="24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House Judiciary Subcommittee Hearing</w:t>
      </w:r>
    </w:p>
    <w:p w14:paraId="7D988A00" w14:textId="7B5488B3" w:rsidR="00122E14" w:rsidRDefault="00122E14" w:rsidP="00122E14">
      <w:pPr>
        <w:spacing w:before="240"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C3E97">
        <w:rPr>
          <w:rFonts w:ascii="Times New Roman" w:eastAsia="Times New Roman" w:hAnsi="Times New Roman" w:cs="Times New Roman"/>
          <w:sz w:val="24"/>
          <w:szCs w:val="20"/>
        </w:rPr>
        <w:t>T</w:t>
      </w:r>
      <w:r>
        <w:rPr>
          <w:rFonts w:ascii="Times New Roman" w:eastAsia="Times New Roman" w:hAnsi="Times New Roman" w:cs="Times New Roman"/>
          <w:sz w:val="24"/>
          <w:szCs w:val="20"/>
        </w:rPr>
        <w:t>he House Judiciary Committee’s (“Committee”) Subcommittee on Courts, Intellectual Property, and the Internet (“Subcommittee”) convened a hearing entitled “International Data Flows: Promoting Digital Trade In the 21</w:t>
      </w:r>
      <w:r w:rsidRPr="00ED3904">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Century.”  The hearing focused on potential legislative and policy solutions to the </w:t>
      </w:r>
      <w:r w:rsidR="009E6599">
        <w:rPr>
          <w:rFonts w:ascii="Times New Roman" w:eastAsia="Times New Roman" w:hAnsi="Times New Roman" w:cs="Times New Roman"/>
          <w:sz w:val="24"/>
          <w:szCs w:val="20"/>
        </w:rPr>
        <w:t xml:space="preserve">invalidation of the </w:t>
      </w:r>
      <w:r>
        <w:rPr>
          <w:rFonts w:ascii="Times New Roman" w:eastAsia="Times New Roman" w:hAnsi="Times New Roman" w:cs="Times New Roman"/>
          <w:sz w:val="24"/>
          <w:szCs w:val="20"/>
        </w:rPr>
        <w:t>U.S.-EU Safe Harbor Framework (“Safe Harbor”) on October 6</w:t>
      </w:r>
      <w:r w:rsidRPr="00471035">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Among </w:t>
      </w:r>
      <w:r w:rsidR="009E6599">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legislative proposals discussed </w:t>
      </w:r>
      <w:r w:rsidR="00831C3A">
        <w:rPr>
          <w:rFonts w:ascii="Times New Roman" w:eastAsia="Times New Roman" w:hAnsi="Times New Roman" w:cs="Times New Roman"/>
          <w:sz w:val="24"/>
          <w:szCs w:val="20"/>
        </w:rPr>
        <w:t>include</w:t>
      </w:r>
      <w:r w:rsidR="009E659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the “Judicial Redress Act” (“H.R. 1428”) and the </w:t>
      </w:r>
      <w:r w:rsidR="00BB68AB">
        <w:rPr>
          <w:rFonts w:ascii="Times New Roman" w:eastAsia="Times New Roman" w:hAnsi="Times New Roman" w:cs="Times New Roman"/>
          <w:sz w:val="24"/>
          <w:szCs w:val="20"/>
        </w:rPr>
        <w:t>“</w:t>
      </w:r>
      <w:r>
        <w:rPr>
          <w:rFonts w:ascii="Times New Roman" w:eastAsia="Times New Roman" w:hAnsi="Times New Roman" w:cs="Times New Roman"/>
          <w:sz w:val="24"/>
          <w:szCs w:val="20"/>
        </w:rPr>
        <w:t>Law Enforcement Access to Data Stored Abroad Act” or</w:t>
      </w:r>
      <w:r w:rsidR="009E6599">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“LEADS Act” (“H.R. 1174”).  Subcommittee members and witnesses also discussed certain proposals under the Trans-Pacific Partnership (“TPP”), including provisions that would prevent certain countries from </w:t>
      </w:r>
      <w:r w:rsidR="003A0DA7">
        <w:rPr>
          <w:rFonts w:ascii="Times New Roman" w:eastAsia="Times New Roman" w:hAnsi="Times New Roman" w:cs="Times New Roman"/>
          <w:sz w:val="24"/>
          <w:szCs w:val="20"/>
        </w:rPr>
        <w:t>requiring</w:t>
      </w:r>
      <w:r>
        <w:rPr>
          <w:rFonts w:ascii="Times New Roman" w:eastAsia="Times New Roman" w:hAnsi="Times New Roman" w:cs="Times New Roman"/>
          <w:sz w:val="24"/>
          <w:szCs w:val="20"/>
        </w:rPr>
        <w:t xml:space="preserve"> companies to localize data centers and share source code.</w:t>
      </w:r>
    </w:p>
    <w:p w14:paraId="5FF31670" w14:textId="45FF3A38" w:rsidR="00122E14" w:rsidRDefault="00122E14" w:rsidP="00122E14">
      <w:pPr>
        <w:spacing w:before="240" w:after="24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panel featured the following witnesses: (1) Ambassador Peter Allgeier, President, Coalition of Service Industries (“CSI”); (2) Dr. Robert D. Atkinson, President, Information Technology and Innovation Foundation (“ITIF”); (3) Victoria Espinel, President and CEO, BSA</w:t>
      </w:r>
      <w:r w:rsidR="00BB68AB">
        <w:rPr>
          <w:rFonts w:ascii="Times New Roman" w:eastAsia="Times New Roman" w:hAnsi="Times New Roman" w:cs="Times New Roman"/>
          <w:sz w:val="24"/>
          <w:szCs w:val="20"/>
        </w:rPr>
        <w:t> </w:t>
      </w:r>
      <w:r>
        <w:rPr>
          <w:rFonts w:ascii="Times New Roman" w:eastAsia="Times New Roman" w:hAnsi="Times New Roman" w:cs="Times New Roman"/>
          <w:sz w:val="24"/>
          <w:szCs w:val="20"/>
        </w:rPr>
        <w:t>| The Software Alliance; (4) Ed Black, President and CEO, Computer and Communications Industry Association (“CCIA”); and (5) Mark MacCarthy, Senior Vice President, Public Policy, Software and Information Industry Association (“SIIA”).</w:t>
      </w:r>
    </w:p>
    <w:p w14:paraId="49B535DC" w14:textId="10CDD3EC" w:rsidR="001D643A" w:rsidRPr="0066735E" w:rsidRDefault="001D643A" w:rsidP="001D643A">
      <w:pPr>
        <w:pStyle w:val="BodyText"/>
        <w:numPr>
          <w:ilvl w:val="0"/>
          <w:numId w:val="2"/>
        </w:numPr>
        <w:spacing w:before="240"/>
        <w:rPr>
          <w:b/>
        </w:rPr>
      </w:pPr>
      <w:r w:rsidRPr="0066735E">
        <w:rPr>
          <w:b/>
        </w:rPr>
        <w:t>Opening Statements of Committee Members</w:t>
      </w:r>
    </w:p>
    <w:p w14:paraId="3A171920" w14:textId="3FB11774" w:rsidR="001D643A" w:rsidRDefault="001D643A" w:rsidP="001D643A">
      <w:pPr>
        <w:spacing w:before="240" w:after="24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i/>
          <w:sz w:val="24"/>
          <w:szCs w:val="20"/>
        </w:rPr>
        <w:t xml:space="preserve">Subcommittee Chairman Darrell Issa (R-CA) </w:t>
      </w:r>
      <w:r w:rsidR="00AB2505">
        <w:rPr>
          <w:rFonts w:ascii="Times New Roman" w:eastAsia="Times New Roman" w:hAnsi="Times New Roman" w:cs="Times New Roman"/>
          <w:sz w:val="24"/>
          <w:szCs w:val="20"/>
        </w:rPr>
        <w:t xml:space="preserve">highlighted his concern regarding </w:t>
      </w:r>
      <w:r>
        <w:rPr>
          <w:rFonts w:ascii="Times New Roman" w:eastAsia="Times New Roman" w:hAnsi="Times New Roman" w:cs="Times New Roman"/>
          <w:sz w:val="24"/>
          <w:szCs w:val="20"/>
        </w:rPr>
        <w:t xml:space="preserve">the </w:t>
      </w:r>
      <w:r w:rsidR="009E6599">
        <w:rPr>
          <w:rFonts w:ascii="Times New Roman" w:eastAsia="Times New Roman" w:hAnsi="Times New Roman" w:cs="Times New Roman"/>
          <w:sz w:val="24"/>
          <w:szCs w:val="20"/>
        </w:rPr>
        <w:t>invalidation of the Safe Harbor agreement</w:t>
      </w:r>
      <w:r w:rsidR="00AB2505">
        <w:rPr>
          <w:rFonts w:ascii="Times New Roman" w:eastAsia="Times New Roman" w:hAnsi="Times New Roman" w:cs="Times New Roman"/>
          <w:sz w:val="24"/>
          <w:szCs w:val="20"/>
        </w:rPr>
        <w:t xml:space="preserve">, noting that a failure to reach another agreement could have negative consequences on American businesses.  He also </w:t>
      </w:r>
      <w:r w:rsidR="00C637D3">
        <w:rPr>
          <w:rFonts w:ascii="Times New Roman" w:eastAsia="Times New Roman" w:hAnsi="Times New Roman" w:cs="Times New Roman"/>
          <w:sz w:val="24"/>
          <w:szCs w:val="20"/>
        </w:rPr>
        <w:t xml:space="preserve">discussed TPP and cautioned against </w:t>
      </w:r>
      <w:r w:rsidR="009E6599">
        <w:rPr>
          <w:rFonts w:ascii="Times New Roman" w:eastAsia="Times New Roman" w:hAnsi="Times New Roman" w:cs="Times New Roman"/>
          <w:sz w:val="24"/>
          <w:szCs w:val="20"/>
        </w:rPr>
        <w:t>regulations that would require data localization or the sharing of source code</w:t>
      </w:r>
      <w:r w:rsidR="00C637D3">
        <w:rPr>
          <w:rFonts w:ascii="Times New Roman" w:eastAsia="Times New Roman" w:hAnsi="Times New Roman" w:cs="Times New Roman"/>
          <w:sz w:val="24"/>
          <w:szCs w:val="20"/>
        </w:rPr>
        <w:t>.</w:t>
      </w:r>
    </w:p>
    <w:p w14:paraId="38292D14" w14:textId="4DD566DF" w:rsidR="001026EA" w:rsidRDefault="00C637D3" w:rsidP="00B42A5E">
      <w:pPr>
        <w:spacing w:before="240"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B63269">
        <w:rPr>
          <w:rFonts w:ascii="Times New Roman" w:eastAsia="Times New Roman" w:hAnsi="Times New Roman" w:cs="Times New Roman"/>
          <w:b/>
          <w:i/>
          <w:sz w:val="24"/>
          <w:szCs w:val="20"/>
        </w:rPr>
        <w:t xml:space="preserve">Subcommittee </w:t>
      </w:r>
      <w:r>
        <w:rPr>
          <w:rFonts w:ascii="Times New Roman" w:eastAsia="Times New Roman" w:hAnsi="Times New Roman" w:cs="Times New Roman"/>
          <w:b/>
          <w:i/>
          <w:sz w:val="24"/>
          <w:szCs w:val="20"/>
        </w:rPr>
        <w:t xml:space="preserve">Ranking Member Jerrold Nadler (D-NY) </w:t>
      </w:r>
      <w:r w:rsidR="00766E3B">
        <w:rPr>
          <w:rFonts w:ascii="Times New Roman" w:eastAsia="Times New Roman" w:hAnsi="Times New Roman" w:cs="Times New Roman"/>
          <w:sz w:val="24"/>
          <w:szCs w:val="20"/>
        </w:rPr>
        <w:t xml:space="preserve">expressed concern regarding any proposed restrictions on cross border data transfers that could block social media, noting that </w:t>
      </w:r>
      <w:r>
        <w:rPr>
          <w:rFonts w:ascii="Times New Roman" w:eastAsia="Times New Roman" w:hAnsi="Times New Roman" w:cs="Times New Roman"/>
          <w:sz w:val="24"/>
          <w:szCs w:val="20"/>
        </w:rPr>
        <w:t xml:space="preserve">blocking social media may stifle freedom of speech and negatively </w:t>
      </w:r>
      <w:r w:rsidR="001026EA">
        <w:rPr>
          <w:rFonts w:ascii="Times New Roman" w:eastAsia="Times New Roman" w:hAnsi="Times New Roman" w:cs="Times New Roman"/>
          <w:sz w:val="24"/>
          <w:szCs w:val="20"/>
        </w:rPr>
        <w:t>impact companies.  He applauded Reps. Sensenbrenner (R-WI) and Conyers (D-MI)</w:t>
      </w:r>
      <w:r w:rsidR="003A0DA7">
        <w:rPr>
          <w:rFonts w:ascii="Times New Roman" w:eastAsia="Times New Roman" w:hAnsi="Times New Roman" w:cs="Times New Roman"/>
          <w:sz w:val="24"/>
          <w:szCs w:val="20"/>
        </w:rPr>
        <w:t xml:space="preserve"> for their efforts on </w:t>
      </w:r>
      <w:r w:rsidR="001026EA">
        <w:rPr>
          <w:rFonts w:ascii="Times New Roman" w:eastAsia="Times New Roman" w:hAnsi="Times New Roman" w:cs="Times New Roman"/>
          <w:sz w:val="24"/>
          <w:szCs w:val="20"/>
        </w:rPr>
        <w:t>H.R. 1428.</w:t>
      </w:r>
    </w:p>
    <w:p w14:paraId="579C7543" w14:textId="0ED8510E" w:rsidR="001026EA" w:rsidRDefault="001026EA" w:rsidP="00B42A5E">
      <w:pPr>
        <w:spacing w:before="240" w:after="240" w:line="240" w:lineRule="auto"/>
        <w:rPr>
          <w:rFonts w:ascii="Times New Roman" w:eastAsia="Times New Roman" w:hAnsi="Times New Roman" w:cs="Times New Roman"/>
          <w:sz w:val="24"/>
          <w:szCs w:val="20"/>
        </w:rPr>
      </w:pPr>
      <w:r>
        <w:rPr>
          <w:rFonts w:ascii="Times New Roman" w:eastAsia="Times New Roman" w:hAnsi="Times New Roman" w:cs="Times New Roman"/>
          <w:b/>
          <w:i/>
          <w:sz w:val="24"/>
          <w:szCs w:val="20"/>
        </w:rPr>
        <w:tab/>
      </w:r>
      <w:r w:rsidR="00B63269">
        <w:rPr>
          <w:rFonts w:ascii="Times New Roman" w:eastAsia="Times New Roman" w:hAnsi="Times New Roman" w:cs="Times New Roman"/>
          <w:b/>
          <w:i/>
          <w:sz w:val="24"/>
          <w:szCs w:val="20"/>
        </w:rPr>
        <w:t>Committee Chairman</w:t>
      </w:r>
      <w:r>
        <w:rPr>
          <w:rFonts w:ascii="Times New Roman" w:eastAsia="Times New Roman" w:hAnsi="Times New Roman" w:cs="Times New Roman"/>
          <w:b/>
          <w:i/>
          <w:sz w:val="24"/>
          <w:szCs w:val="20"/>
        </w:rPr>
        <w:t xml:space="preserve"> John Conyers (D-MI) </w:t>
      </w:r>
      <w:r>
        <w:rPr>
          <w:rFonts w:ascii="Times New Roman" w:eastAsia="Times New Roman" w:hAnsi="Times New Roman" w:cs="Times New Roman"/>
          <w:sz w:val="24"/>
          <w:szCs w:val="20"/>
        </w:rPr>
        <w:t xml:space="preserve">cited benefits of digital trade to the expansion of the U.S. economy.  He </w:t>
      </w:r>
      <w:r w:rsidR="00843E11">
        <w:rPr>
          <w:rFonts w:ascii="Times New Roman" w:eastAsia="Times New Roman" w:hAnsi="Times New Roman" w:cs="Times New Roman"/>
          <w:sz w:val="24"/>
          <w:szCs w:val="20"/>
        </w:rPr>
        <w:t xml:space="preserve">noted that </w:t>
      </w:r>
      <w:r w:rsidR="00766E3B">
        <w:rPr>
          <w:rFonts w:ascii="Times New Roman" w:eastAsia="Times New Roman" w:hAnsi="Times New Roman" w:cs="Times New Roman"/>
          <w:sz w:val="24"/>
          <w:szCs w:val="20"/>
        </w:rPr>
        <w:t>the</w:t>
      </w:r>
      <w:r w:rsidR="00843E11">
        <w:rPr>
          <w:rFonts w:ascii="Times New Roman" w:eastAsia="Times New Roman" w:hAnsi="Times New Roman" w:cs="Times New Roman"/>
          <w:sz w:val="24"/>
          <w:szCs w:val="20"/>
        </w:rPr>
        <w:t xml:space="preserve"> passage of H.R. 1428</w:t>
      </w:r>
      <w:r w:rsidR="00766E3B">
        <w:rPr>
          <w:rFonts w:ascii="Times New Roman" w:eastAsia="Times New Roman" w:hAnsi="Times New Roman" w:cs="Times New Roman"/>
          <w:sz w:val="24"/>
          <w:szCs w:val="20"/>
        </w:rPr>
        <w:t xml:space="preserve"> by the House of Representatives</w:t>
      </w:r>
      <w:r w:rsidR="00843E11">
        <w:rPr>
          <w:rFonts w:ascii="Times New Roman" w:eastAsia="Times New Roman" w:hAnsi="Times New Roman" w:cs="Times New Roman"/>
          <w:sz w:val="24"/>
          <w:szCs w:val="20"/>
        </w:rPr>
        <w:t xml:space="preserve"> was an important step for the United States in addressing Europeans’ concerns pertaining to</w:t>
      </w:r>
      <w:r w:rsidR="00716F7D">
        <w:rPr>
          <w:rFonts w:ascii="Times New Roman" w:eastAsia="Times New Roman" w:hAnsi="Times New Roman" w:cs="Times New Roman"/>
          <w:sz w:val="24"/>
          <w:szCs w:val="20"/>
        </w:rPr>
        <w:t xml:space="preserve"> U.S. government surveillance.  He stated that certain </w:t>
      </w:r>
      <w:r w:rsidR="00726DAF">
        <w:rPr>
          <w:rFonts w:ascii="Times New Roman" w:eastAsia="Times New Roman" w:hAnsi="Times New Roman" w:cs="Times New Roman"/>
          <w:sz w:val="24"/>
          <w:szCs w:val="20"/>
        </w:rPr>
        <w:t>trade barriers</w:t>
      </w:r>
      <w:r w:rsidR="00716F7D">
        <w:rPr>
          <w:rFonts w:ascii="Times New Roman" w:eastAsia="Times New Roman" w:hAnsi="Times New Roman" w:cs="Times New Roman"/>
          <w:sz w:val="24"/>
          <w:szCs w:val="20"/>
        </w:rPr>
        <w:t xml:space="preserve"> such as bans on child pornography and digital pirac</w:t>
      </w:r>
      <w:r w:rsidR="00726DAF">
        <w:rPr>
          <w:rFonts w:ascii="Times New Roman" w:eastAsia="Times New Roman" w:hAnsi="Times New Roman" w:cs="Times New Roman"/>
          <w:sz w:val="24"/>
          <w:szCs w:val="20"/>
        </w:rPr>
        <w:t>y</w:t>
      </w:r>
      <w:r w:rsidR="00716F7D">
        <w:rPr>
          <w:rFonts w:ascii="Times New Roman" w:eastAsia="Times New Roman" w:hAnsi="Times New Roman" w:cs="Times New Roman"/>
          <w:sz w:val="24"/>
          <w:szCs w:val="20"/>
        </w:rPr>
        <w:t xml:space="preserve"> are necessary, whereas restrictions on data localization is harmful to digital trade.</w:t>
      </w:r>
    </w:p>
    <w:p w14:paraId="6BE76341" w14:textId="398BC6EA" w:rsidR="00716F7D" w:rsidRPr="0066735E" w:rsidRDefault="00716F7D" w:rsidP="00716F7D">
      <w:pPr>
        <w:pStyle w:val="BodyText"/>
        <w:numPr>
          <w:ilvl w:val="0"/>
          <w:numId w:val="2"/>
        </w:numPr>
        <w:spacing w:before="240"/>
        <w:rPr>
          <w:b/>
        </w:rPr>
      </w:pPr>
      <w:r w:rsidRPr="0066735E">
        <w:rPr>
          <w:b/>
        </w:rPr>
        <w:t>Opening Statements of Witnesses</w:t>
      </w:r>
      <w:r>
        <w:rPr>
          <w:b/>
        </w:rPr>
        <w:t>: Government Panel</w:t>
      </w:r>
    </w:p>
    <w:p w14:paraId="173176CF" w14:textId="750D2D37" w:rsidR="00726DAF" w:rsidRDefault="00716F7D" w:rsidP="00726DAF">
      <w:pPr>
        <w:spacing w:before="240" w:after="24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i/>
          <w:sz w:val="24"/>
          <w:szCs w:val="20"/>
        </w:rPr>
        <w:t>Ambassad</w:t>
      </w:r>
      <w:r w:rsidR="009C7DCF">
        <w:rPr>
          <w:rFonts w:ascii="Times New Roman" w:eastAsia="Times New Roman" w:hAnsi="Times New Roman" w:cs="Times New Roman"/>
          <w:b/>
          <w:i/>
          <w:sz w:val="24"/>
          <w:szCs w:val="20"/>
        </w:rPr>
        <w:t>or Peter Allgeier, President, CSI,</w:t>
      </w:r>
      <w:r w:rsidR="00A42FD2">
        <w:rPr>
          <w:rFonts w:ascii="Times New Roman" w:eastAsia="Times New Roman" w:hAnsi="Times New Roman" w:cs="Times New Roman"/>
          <w:b/>
          <w:i/>
          <w:sz w:val="24"/>
          <w:szCs w:val="20"/>
        </w:rPr>
        <w:t xml:space="preserve"> </w:t>
      </w:r>
      <w:r w:rsidR="00640EDF">
        <w:rPr>
          <w:rFonts w:ascii="Times New Roman" w:eastAsia="Times New Roman" w:hAnsi="Times New Roman" w:cs="Times New Roman"/>
          <w:sz w:val="24"/>
          <w:szCs w:val="20"/>
        </w:rPr>
        <w:t>expressed his concern that international rules have not been updated to protect the tr</w:t>
      </w:r>
      <w:r w:rsidR="00DC098B">
        <w:rPr>
          <w:rFonts w:ascii="Times New Roman" w:eastAsia="Times New Roman" w:hAnsi="Times New Roman" w:cs="Times New Roman"/>
          <w:sz w:val="24"/>
          <w:szCs w:val="20"/>
        </w:rPr>
        <w:t>ansfer of data across borders.</w:t>
      </w:r>
      <w:r w:rsidR="00726DAF">
        <w:rPr>
          <w:rFonts w:ascii="Times New Roman" w:eastAsia="Times New Roman" w:hAnsi="Times New Roman" w:cs="Times New Roman"/>
          <w:sz w:val="24"/>
          <w:szCs w:val="20"/>
        </w:rPr>
        <w:t xml:space="preserve"> </w:t>
      </w:r>
      <w:r w:rsidR="00831C3A">
        <w:rPr>
          <w:rFonts w:ascii="Times New Roman" w:eastAsia="Times New Roman" w:hAnsi="Times New Roman" w:cs="Times New Roman"/>
          <w:sz w:val="24"/>
          <w:szCs w:val="20"/>
        </w:rPr>
        <w:t xml:space="preserve"> </w:t>
      </w:r>
      <w:r w:rsidR="00726DAF">
        <w:rPr>
          <w:rFonts w:ascii="Times New Roman" w:eastAsia="Times New Roman" w:hAnsi="Times New Roman" w:cs="Times New Roman"/>
          <w:sz w:val="24"/>
          <w:szCs w:val="20"/>
        </w:rPr>
        <w:t xml:space="preserve">He stated that the </w:t>
      </w:r>
      <w:r w:rsidR="00A42FD2">
        <w:rPr>
          <w:rFonts w:ascii="Times New Roman" w:eastAsia="Times New Roman" w:hAnsi="Times New Roman" w:cs="Times New Roman"/>
          <w:sz w:val="24"/>
          <w:szCs w:val="20"/>
        </w:rPr>
        <w:t xml:space="preserve">TPP </w:t>
      </w:r>
      <w:r w:rsidR="00640EDF">
        <w:rPr>
          <w:rFonts w:ascii="Times New Roman" w:eastAsia="Times New Roman" w:hAnsi="Times New Roman" w:cs="Times New Roman"/>
          <w:sz w:val="24"/>
          <w:szCs w:val="20"/>
        </w:rPr>
        <w:t>should prevent localization requirements that would impact cloud computing services</w:t>
      </w:r>
      <w:r w:rsidR="00726DAF">
        <w:rPr>
          <w:rFonts w:ascii="Times New Roman" w:eastAsia="Times New Roman" w:hAnsi="Times New Roman" w:cs="Times New Roman"/>
          <w:sz w:val="24"/>
          <w:szCs w:val="20"/>
        </w:rPr>
        <w:t>.</w:t>
      </w:r>
    </w:p>
    <w:p w14:paraId="3C99AD85" w14:textId="77777777" w:rsidR="00726DAF" w:rsidRDefault="00726DAF" w:rsidP="00726DAF">
      <w:pPr>
        <w:spacing w:before="240" w:after="240" w:line="240" w:lineRule="auto"/>
        <w:ind w:firstLine="720"/>
        <w:rPr>
          <w:rFonts w:ascii="Times New Roman" w:eastAsia="Times New Roman" w:hAnsi="Times New Roman" w:cs="Times New Roman"/>
          <w:sz w:val="24"/>
          <w:szCs w:val="20"/>
        </w:rPr>
      </w:pPr>
    </w:p>
    <w:p w14:paraId="74028540" w14:textId="53A7A4FE" w:rsidR="009C7DCF" w:rsidRPr="00640EDF" w:rsidRDefault="009C7DCF" w:rsidP="00726DAF">
      <w:pPr>
        <w:spacing w:before="240" w:after="24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i/>
          <w:sz w:val="24"/>
          <w:szCs w:val="20"/>
        </w:rPr>
        <w:t>Dr. Robert D. Atkinson, President, ITIF,</w:t>
      </w:r>
      <w:r w:rsidR="00640EDF">
        <w:rPr>
          <w:rFonts w:ascii="Times New Roman" w:eastAsia="Times New Roman" w:hAnsi="Times New Roman" w:cs="Times New Roman"/>
          <w:b/>
          <w:i/>
          <w:sz w:val="24"/>
          <w:szCs w:val="20"/>
        </w:rPr>
        <w:t xml:space="preserve"> </w:t>
      </w:r>
      <w:r w:rsidR="00640EDF">
        <w:rPr>
          <w:rFonts w:ascii="Times New Roman" w:eastAsia="Times New Roman" w:hAnsi="Times New Roman" w:cs="Times New Roman"/>
          <w:sz w:val="24"/>
          <w:szCs w:val="20"/>
        </w:rPr>
        <w:t>stated that certain countries are increasingly adopting an approach to digital trade that reflects “protectionism.”</w:t>
      </w:r>
      <w:r w:rsidR="00604548">
        <w:rPr>
          <w:rFonts w:ascii="Times New Roman" w:eastAsia="Times New Roman" w:hAnsi="Times New Roman" w:cs="Times New Roman"/>
          <w:sz w:val="24"/>
          <w:szCs w:val="20"/>
        </w:rPr>
        <w:t xml:space="preserve">  He proposed </w:t>
      </w:r>
      <w:r w:rsidR="00766E3B">
        <w:rPr>
          <w:rFonts w:ascii="Times New Roman" w:eastAsia="Times New Roman" w:hAnsi="Times New Roman" w:cs="Times New Roman"/>
          <w:sz w:val="24"/>
          <w:szCs w:val="20"/>
        </w:rPr>
        <w:t xml:space="preserve">that </w:t>
      </w:r>
      <w:r w:rsidR="00604548">
        <w:rPr>
          <w:rFonts w:ascii="Times New Roman" w:eastAsia="Times New Roman" w:hAnsi="Times New Roman" w:cs="Times New Roman"/>
          <w:sz w:val="24"/>
          <w:szCs w:val="20"/>
        </w:rPr>
        <w:t>a narrow national security exemption</w:t>
      </w:r>
      <w:r w:rsidR="00766E3B">
        <w:rPr>
          <w:rFonts w:ascii="Times New Roman" w:eastAsia="Times New Roman" w:hAnsi="Times New Roman" w:cs="Times New Roman"/>
          <w:sz w:val="24"/>
          <w:szCs w:val="20"/>
        </w:rPr>
        <w:t xml:space="preserve"> should</w:t>
      </w:r>
      <w:r w:rsidR="00604548">
        <w:rPr>
          <w:rFonts w:ascii="Times New Roman" w:eastAsia="Times New Roman" w:hAnsi="Times New Roman" w:cs="Times New Roman"/>
          <w:sz w:val="24"/>
          <w:szCs w:val="20"/>
        </w:rPr>
        <w:t xml:space="preserve"> be included in the TPP</w:t>
      </w:r>
      <w:r w:rsidR="00AA6694">
        <w:rPr>
          <w:rFonts w:ascii="Times New Roman" w:eastAsia="Times New Roman" w:hAnsi="Times New Roman" w:cs="Times New Roman"/>
          <w:sz w:val="24"/>
          <w:szCs w:val="20"/>
        </w:rPr>
        <w:t>.</w:t>
      </w:r>
    </w:p>
    <w:p w14:paraId="4B461D22" w14:textId="35134461" w:rsidR="00AA6694" w:rsidRPr="00AA6694" w:rsidRDefault="009C7DCF" w:rsidP="00AA6694">
      <w:pPr>
        <w:spacing w:before="240" w:after="24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i/>
          <w:sz w:val="24"/>
          <w:szCs w:val="20"/>
        </w:rPr>
        <w:t xml:space="preserve">Victoria Espinel, President and CEO, </w:t>
      </w:r>
      <w:r w:rsidR="00BB68AB" w:rsidRPr="00700FA7">
        <w:rPr>
          <w:rFonts w:ascii="Times New Roman" w:eastAsia="Times New Roman" w:hAnsi="Times New Roman" w:cs="Times New Roman"/>
          <w:b/>
          <w:i/>
          <w:sz w:val="24"/>
          <w:szCs w:val="20"/>
        </w:rPr>
        <w:t>BSA</w:t>
      </w:r>
      <w:r w:rsidR="00AA6694">
        <w:rPr>
          <w:rFonts w:ascii="Times New Roman" w:eastAsia="Times New Roman" w:hAnsi="Times New Roman" w:cs="Times New Roman"/>
          <w:b/>
          <w:i/>
          <w:sz w:val="24"/>
          <w:szCs w:val="20"/>
        </w:rPr>
        <w:t xml:space="preserve">, </w:t>
      </w:r>
      <w:r w:rsidR="00AA6694">
        <w:rPr>
          <w:rFonts w:ascii="Times New Roman" w:eastAsia="Times New Roman" w:hAnsi="Times New Roman" w:cs="Times New Roman"/>
          <w:sz w:val="24"/>
          <w:szCs w:val="20"/>
        </w:rPr>
        <w:t>highlighted the following areas to focus on with respect to data flows: prohibition o</w:t>
      </w:r>
      <w:r w:rsidR="00766E3B">
        <w:rPr>
          <w:rFonts w:ascii="Times New Roman" w:eastAsia="Times New Roman" w:hAnsi="Times New Roman" w:cs="Times New Roman"/>
          <w:sz w:val="24"/>
          <w:szCs w:val="20"/>
        </w:rPr>
        <w:t>f</w:t>
      </w:r>
      <w:r w:rsidR="00AA6694">
        <w:rPr>
          <w:rFonts w:ascii="Times New Roman" w:eastAsia="Times New Roman" w:hAnsi="Times New Roman" w:cs="Times New Roman"/>
          <w:sz w:val="24"/>
          <w:szCs w:val="20"/>
        </w:rPr>
        <w:t xml:space="preserve"> custom duties on digital products, prevention of requirements for companies to disclose source codes, and enactment of H.R. 1428.  She listed countries that have implemented restrictions </w:t>
      </w:r>
      <w:r w:rsidR="00766E3B">
        <w:rPr>
          <w:rFonts w:ascii="Times New Roman" w:eastAsia="Times New Roman" w:hAnsi="Times New Roman" w:cs="Times New Roman"/>
          <w:sz w:val="24"/>
          <w:szCs w:val="20"/>
        </w:rPr>
        <w:t>on</w:t>
      </w:r>
      <w:r w:rsidR="00AA6694">
        <w:rPr>
          <w:rFonts w:ascii="Times New Roman" w:eastAsia="Times New Roman" w:hAnsi="Times New Roman" w:cs="Times New Roman"/>
          <w:sz w:val="24"/>
          <w:szCs w:val="20"/>
        </w:rPr>
        <w:t xml:space="preserve"> data flows</w:t>
      </w:r>
      <w:r w:rsidR="00726DAF">
        <w:rPr>
          <w:rFonts w:ascii="Times New Roman" w:eastAsia="Times New Roman" w:hAnsi="Times New Roman" w:cs="Times New Roman"/>
          <w:sz w:val="24"/>
          <w:szCs w:val="20"/>
        </w:rPr>
        <w:t>, including</w:t>
      </w:r>
      <w:r w:rsidR="00AA6694">
        <w:rPr>
          <w:rFonts w:ascii="Times New Roman" w:eastAsia="Times New Roman" w:hAnsi="Times New Roman" w:cs="Times New Roman"/>
          <w:sz w:val="24"/>
          <w:szCs w:val="20"/>
        </w:rPr>
        <w:t xml:space="preserve"> China, Russia, and Brazil.</w:t>
      </w:r>
    </w:p>
    <w:p w14:paraId="204228DD" w14:textId="3F330DB6" w:rsidR="009C7DCF" w:rsidRPr="001F1095" w:rsidRDefault="009C7DCF" w:rsidP="001F1095">
      <w:pPr>
        <w:spacing w:before="240" w:after="24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i/>
          <w:sz w:val="24"/>
          <w:szCs w:val="20"/>
        </w:rPr>
        <w:t>Ed Black, President and CEO, CCIA,</w:t>
      </w:r>
      <w:r w:rsidR="001F1095">
        <w:rPr>
          <w:rFonts w:ascii="Times New Roman" w:eastAsia="Times New Roman" w:hAnsi="Times New Roman" w:cs="Times New Roman"/>
          <w:b/>
          <w:i/>
          <w:sz w:val="24"/>
          <w:szCs w:val="20"/>
        </w:rPr>
        <w:t xml:space="preserve"> </w:t>
      </w:r>
      <w:r w:rsidR="001F1095">
        <w:rPr>
          <w:rFonts w:ascii="Times New Roman" w:eastAsia="Times New Roman" w:hAnsi="Times New Roman" w:cs="Times New Roman"/>
          <w:sz w:val="24"/>
          <w:szCs w:val="20"/>
        </w:rPr>
        <w:t>focused on certain rules that impact data flows, including the EU “Right to Be Forgotten”</w:t>
      </w:r>
      <w:r w:rsidR="00C634FE">
        <w:rPr>
          <w:rFonts w:ascii="Times New Roman" w:eastAsia="Times New Roman" w:hAnsi="Times New Roman" w:cs="Times New Roman"/>
          <w:sz w:val="24"/>
          <w:szCs w:val="20"/>
        </w:rPr>
        <w:t xml:space="preserve"> and</w:t>
      </w:r>
      <w:r w:rsidR="001F1095">
        <w:rPr>
          <w:rFonts w:ascii="Times New Roman" w:eastAsia="Times New Roman" w:hAnsi="Times New Roman" w:cs="Times New Roman"/>
          <w:sz w:val="24"/>
          <w:szCs w:val="20"/>
        </w:rPr>
        <w:t xml:space="preserve"> current trade and copyright rules.  He called for enactment of H.R. 1428.</w:t>
      </w:r>
    </w:p>
    <w:p w14:paraId="5AFA06B9" w14:textId="7085BB3E" w:rsidR="001026EA" w:rsidRDefault="009C7DCF" w:rsidP="001F1095">
      <w:pPr>
        <w:spacing w:before="240" w:after="24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i/>
          <w:sz w:val="24"/>
          <w:szCs w:val="20"/>
        </w:rPr>
        <w:t xml:space="preserve">Mark MacCarthy, Senior Vice President, Public Policy, </w:t>
      </w:r>
      <w:r w:rsidR="001F1095">
        <w:rPr>
          <w:rFonts w:ascii="Times New Roman" w:eastAsia="Times New Roman" w:hAnsi="Times New Roman" w:cs="Times New Roman"/>
          <w:b/>
          <w:i/>
          <w:sz w:val="24"/>
          <w:szCs w:val="20"/>
        </w:rPr>
        <w:t xml:space="preserve">SIIA, </w:t>
      </w:r>
      <w:r w:rsidR="00B735F8">
        <w:rPr>
          <w:rFonts w:ascii="Times New Roman" w:eastAsia="Times New Roman" w:hAnsi="Times New Roman" w:cs="Times New Roman"/>
          <w:sz w:val="24"/>
          <w:szCs w:val="20"/>
        </w:rPr>
        <w:t xml:space="preserve">discussed his concern regarding the financial services provision in the TPP, stating that it is </w:t>
      </w:r>
      <w:r w:rsidR="00766E3B">
        <w:rPr>
          <w:rFonts w:ascii="Times New Roman" w:eastAsia="Times New Roman" w:hAnsi="Times New Roman" w:cs="Times New Roman"/>
          <w:sz w:val="24"/>
          <w:szCs w:val="20"/>
        </w:rPr>
        <w:t>too broad</w:t>
      </w:r>
      <w:r w:rsidR="00B735F8">
        <w:rPr>
          <w:rFonts w:ascii="Times New Roman" w:eastAsia="Times New Roman" w:hAnsi="Times New Roman" w:cs="Times New Roman"/>
          <w:sz w:val="24"/>
          <w:szCs w:val="20"/>
        </w:rPr>
        <w:t xml:space="preserve">.  He stated that enactment of H.R. 1428 would </w:t>
      </w:r>
      <w:r w:rsidR="00766E3B">
        <w:rPr>
          <w:rFonts w:ascii="Times New Roman" w:eastAsia="Times New Roman" w:hAnsi="Times New Roman" w:cs="Times New Roman"/>
          <w:sz w:val="24"/>
          <w:szCs w:val="20"/>
        </w:rPr>
        <w:t>facilitate reaching</w:t>
      </w:r>
      <w:r w:rsidR="00B735F8">
        <w:rPr>
          <w:rFonts w:ascii="Times New Roman" w:eastAsia="Times New Roman" w:hAnsi="Times New Roman" w:cs="Times New Roman"/>
          <w:sz w:val="24"/>
          <w:szCs w:val="20"/>
        </w:rPr>
        <w:t xml:space="preserve"> a Safe Harbor 2.0</w:t>
      </w:r>
      <w:r w:rsidR="00766E3B">
        <w:rPr>
          <w:rFonts w:ascii="Times New Roman" w:eastAsia="Times New Roman" w:hAnsi="Times New Roman" w:cs="Times New Roman"/>
          <w:sz w:val="24"/>
          <w:szCs w:val="20"/>
        </w:rPr>
        <w:t xml:space="preserve"> agreement</w:t>
      </w:r>
      <w:r w:rsidR="00B735F8">
        <w:rPr>
          <w:rFonts w:ascii="Times New Roman" w:eastAsia="Times New Roman" w:hAnsi="Times New Roman" w:cs="Times New Roman"/>
          <w:sz w:val="24"/>
          <w:szCs w:val="20"/>
        </w:rPr>
        <w:t>.</w:t>
      </w:r>
    </w:p>
    <w:p w14:paraId="64A7DB79" w14:textId="77777777" w:rsidR="00B735F8" w:rsidRDefault="00B735F8" w:rsidP="00B735F8">
      <w:pPr>
        <w:pStyle w:val="BodyText"/>
        <w:numPr>
          <w:ilvl w:val="0"/>
          <w:numId w:val="2"/>
        </w:numPr>
        <w:spacing w:before="240"/>
        <w:rPr>
          <w:b/>
        </w:rPr>
      </w:pPr>
      <w:r w:rsidRPr="0066735E">
        <w:rPr>
          <w:b/>
        </w:rPr>
        <w:t>Questioning</w:t>
      </w:r>
    </w:p>
    <w:p w14:paraId="1C881279" w14:textId="269F7EC2" w:rsidR="006D2240" w:rsidRPr="006D2240" w:rsidRDefault="006D2240" w:rsidP="00C65C72">
      <w:pPr>
        <w:pStyle w:val="BodyText"/>
        <w:spacing w:before="240"/>
        <w:ind w:firstLine="720"/>
      </w:pPr>
      <w:r>
        <w:rPr>
          <w:b/>
          <w:i/>
        </w:rPr>
        <w:t xml:space="preserve">U.S.-EU Safe Harbor.  </w:t>
      </w:r>
      <w:r w:rsidR="00097724">
        <w:t>Rep. Steve Chabot (R-OH)</w:t>
      </w:r>
      <w:r w:rsidR="00766E3B">
        <w:t xml:space="preserve"> expressed</w:t>
      </w:r>
      <w:r w:rsidR="00097724">
        <w:t xml:space="preserve"> concern regarding the potential impact that barriers to digital trade would have on small businesses. </w:t>
      </w:r>
      <w:r w:rsidR="00726DAF">
        <w:t xml:space="preserve"> </w:t>
      </w:r>
      <w:r w:rsidR="00B97038">
        <w:t>Atkinson stressed that without a Safe Ha</w:t>
      </w:r>
      <w:r w:rsidR="00C634FE">
        <w:t>r</w:t>
      </w:r>
      <w:r w:rsidR="00B97038">
        <w:t>bor</w:t>
      </w:r>
      <w:r w:rsidR="00831C3A">
        <w:t xml:space="preserve"> a</w:t>
      </w:r>
      <w:r w:rsidR="00766E3B">
        <w:t>greement</w:t>
      </w:r>
      <w:r w:rsidR="00B97038">
        <w:t>, companies could adopt binding corporate rules</w:t>
      </w:r>
      <w:r w:rsidR="00C634FE">
        <w:t>, but state</w:t>
      </w:r>
      <w:r w:rsidR="00B97038">
        <w:t xml:space="preserve">d that these rules would be costly for small companies to adopt.  </w:t>
      </w:r>
      <w:r>
        <w:t xml:space="preserve">Espinel underscored that companies </w:t>
      </w:r>
      <w:r w:rsidR="00766E3B">
        <w:t>must be</w:t>
      </w:r>
      <w:r>
        <w:t xml:space="preserve"> provided with sufficient time to comply with any Safe Harbor</w:t>
      </w:r>
      <w:r w:rsidR="00766E3B">
        <w:t xml:space="preserve"> agreement</w:t>
      </w:r>
      <w:r>
        <w:t xml:space="preserve"> resulting from negotiations.</w:t>
      </w:r>
    </w:p>
    <w:p w14:paraId="1B482C33" w14:textId="6AC624F4" w:rsidR="004729EE" w:rsidRPr="000B46FB" w:rsidRDefault="004729EE" w:rsidP="000B46FB">
      <w:pPr>
        <w:pStyle w:val="BodyText"/>
        <w:spacing w:before="240"/>
        <w:ind w:firstLine="720"/>
      </w:pPr>
      <w:r>
        <w:rPr>
          <w:b/>
          <w:i/>
        </w:rPr>
        <w:t>Judicial Redress Act (H.R. 1428).</w:t>
      </w:r>
      <w:r w:rsidR="000B46FB">
        <w:rPr>
          <w:b/>
          <w:i/>
        </w:rPr>
        <w:t xml:space="preserve">  </w:t>
      </w:r>
      <w:r w:rsidR="000B46FB">
        <w:t>Committee Ranking Member Conyers promoted H.R. 1428</w:t>
      </w:r>
      <w:r w:rsidR="00766E3B">
        <w:t>,</w:t>
      </w:r>
      <w:r w:rsidR="000B46FB">
        <w:t xml:space="preserve"> </w:t>
      </w:r>
      <w:r w:rsidR="00097724">
        <w:t xml:space="preserve">and each panelist announced their support for the legislation.  </w:t>
      </w:r>
      <w:r w:rsidR="000B46FB">
        <w:t xml:space="preserve">MacCarthy stressed that H.R. 1428 has important implications for </w:t>
      </w:r>
      <w:r w:rsidR="00C634FE">
        <w:t>the S</w:t>
      </w:r>
      <w:r w:rsidR="000B46FB">
        <w:t>a</w:t>
      </w:r>
      <w:r w:rsidR="00766E3B">
        <w:t>f</w:t>
      </w:r>
      <w:r w:rsidR="000B46FB">
        <w:t xml:space="preserve">e </w:t>
      </w:r>
      <w:r w:rsidR="00C634FE">
        <w:t>H</w:t>
      </w:r>
      <w:r w:rsidR="006D2240">
        <w:t>arbor negotiations and the U.S.-EU Umbrella Agreement.</w:t>
      </w:r>
    </w:p>
    <w:p w14:paraId="759A05F0" w14:textId="4EC965D7" w:rsidR="006D2240" w:rsidRPr="00771430" w:rsidRDefault="004729EE" w:rsidP="00771430">
      <w:pPr>
        <w:pStyle w:val="BodyText"/>
        <w:spacing w:before="240"/>
        <w:ind w:firstLine="720"/>
      </w:pPr>
      <w:r>
        <w:rPr>
          <w:b/>
          <w:i/>
        </w:rPr>
        <w:t>LEADS Act (H.R. 1174).</w:t>
      </w:r>
      <w:r w:rsidR="00771430">
        <w:rPr>
          <w:b/>
          <w:i/>
        </w:rPr>
        <w:t xml:space="preserve"> </w:t>
      </w:r>
      <w:r w:rsidR="00771430">
        <w:t xml:space="preserve"> Rep. Suzan DelBene (D-WA) asked the panel to elaborate on the EU’s concern regarding U.S. law enforcement access to data and their positio</w:t>
      </w:r>
      <w:r w:rsidR="008B0283">
        <w:t>ns on H.R. 1174.  Espinel, MacCarthy, and Atkinson announced their support for H.R. 1174.  Atkinson noted that the Mutual Legal Assistance Treaty could be improved.</w:t>
      </w:r>
    </w:p>
    <w:p w14:paraId="0670BE9D" w14:textId="1F54C6C5" w:rsidR="006D2240" w:rsidRPr="00C65C72" w:rsidRDefault="006D2240" w:rsidP="006D2240">
      <w:pPr>
        <w:pStyle w:val="BodyText"/>
        <w:spacing w:before="240"/>
        <w:ind w:firstLine="720"/>
      </w:pPr>
      <w:r>
        <w:rPr>
          <w:b/>
          <w:i/>
        </w:rPr>
        <w:t xml:space="preserve">Law Enforcement and Government Surveillance.  </w:t>
      </w:r>
      <w:r>
        <w:t>Subcommittee Ranking Member Nadler asked Atkinson to weigh in on Federal Bureau of Investigation (“FBI”) Director James Comey’s proposal for “backdoor” access to encrypted data.  Atkinson opposed the proposal, noting that the FBI cannot account for the future of encryption technology.</w:t>
      </w:r>
      <w:r w:rsidR="00166FED">
        <w:t xml:space="preserve">  Rep. Ted Poe (R-TX) highlighted as areas for reform, Foreign Intelligence Surveillance</w:t>
      </w:r>
      <w:r w:rsidR="00045BDA">
        <w:t xml:space="preserve"> Act (“FISA”)</w:t>
      </w:r>
      <w:r w:rsidR="00166FED">
        <w:t xml:space="preserve"> Courts, </w:t>
      </w:r>
      <w:r w:rsidR="00045BDA">
        <w:t>surveillance warrants under Section 702 of the FISA Amendments Act, Electronic Communications Privacy Act (“ECPA”), and backdoor access to encrypted data.  Espinel noted her concern regarding encryption.  The panel announced their support for ECPA reform.</w:t>
      </w:r>
    </w:p>
    <w:p w14:paraId="30E2C372" w14:textId="7CD97B45" w:rsidR="006D2240" w:rsidRPr="00F02116" w:rsidRDefault="006D2240" w:rsidP="00771430">
      <w:pPr>
        <w:pStyle w:val="BodyText"/>
        <w:spacing w:before="240"/>
        <w:ind w:firstLine="720"/>
      </w:pPr>
      <w:r>
        <w:rPr>
          <w:b/>
          <w:i/>
        </w:rPr>
        <w:t xml:space="preserve">TPP.  </w:t>
      </w:r>
      <w:r>
        <w:t xml:space="preserve">Subcommittee Chairman Issa suggested that </w:t>
      </w:r>
      <w:r w:rsidR="00C634FE">
        <w:t>a</w:t>
      </w:r>
      <w:r>
        <w:t xml:space="preserve"> carveout for banks</w:t>
      </w:r>
      <w:r w:rsidR="00C634FE">
        <w:t xml:space="preserve"> in the TPP</w:t>
      </w:r>
      <w:r>
        <w:t xml:space="preserve"> that would require </w:t>
      </w:r>
      <w:r w:rsidR="00C634FE">
        <w:t>presenting</w:t>
      </w:r>
      <w:r>
        <w:t xml:space="preserve"> data at the request of a government agency may not be burdensome.  He pointed out that banks are required to present the International Revenue Service with certain documents upon request.  Ambassador Allgeier responded that it may take banks a significant length of time to obtain data from servers across the globe. </w:t>
      </w:r>
      <w:r w:rsidR="00B97038">
        <w:t xml:space="preserve"> Black recommended that the World Trade Organization be further involved in setting rules for digital trade.</w:t>
      </w:r>
      <w:r w:rsidR="004C6C05">
        <w:t xml:space="preserve">  Subcommittee Vice Chairman Doug Collins (R-GA) as</w:t>
      </w:r>
      <w:r w:rsidR="00771430">
        <w:t>ked the panel for their views on</w:t>
      </w:r>
      <w:r w:rsidR="004C6C05">
        <w:t xml:space="preserve"> </w:t>
      </w:r>
      <w:r w:rsidR="00771430">
        <w:t xml:space="preserve">TPP provisions that address </w:t>
      </w:r>
      <w:r w:rsidR="004C6C05">
        <w:t>computing localization</w:t>
      </w:r>
      <w:r w:rsidR="00771430">
        <w:t xml:space="preserve"> and disclosure of source</w:t>
      </w:r>
      <w:r w:rsidR="00766E3B">
        <w:t xml:space="preserve"> code</w:t>
      </w:r>
      <w:r w:rsidR="004C6C05">
        <w:t xml:space="preserve">.  Espinel </w:t>
      </w:r>
      <w:r w:rsidR="00771430">
        <w:t xml:space="preserve">responded that these provisions are strong and enforceable. </w:t>
      </w:r>
      <w:r w:rsidR="00726DAF">
        <w:t xml:space="preserve"> </w:t>
      </w:r>
      <w:r w:rsidR="00771430">
        <w:t>Rep. Collins stressed that the United States should not settle for copyright frameworks of other countries.</w:t>
      </w:r>
      <w:r w:rsidR="004A22A8">
        <w:t xml:space="preserve">  Rep. Zoe Lofgren (D-CA) suggested that countries that have data localization, such as Russia, China, and Turkey, do not promote significant free speech and have other motivations for imposing this requirement.</w:t>
      </w:r>
    </w:p>
    <w:p w14:paraId="18F9C9D0" w14:textId="171B443F" w:rsidR="00A1315D" w:rsidRPr="00A1315D" w:rsidRDefault="00A1315D" w:rsidP="00611BFB">
      <w:pPr>
        <w:pStyle w:val="BodyText"/>
        <w:spacing w:before="240"/>
        <w:ind w:firstLine="720"/>
      </w:pPr>
      <w:r>
        <w:rPr>
          <w:b/>
          <w:i/>
        </w:rPr>
        <w:t xml:space="preserve">Website Blocking.  </w:t>
      </w:r>
      <w:r w:rsidR="00611BFB">
        <w:t xml:space="preserve">Rep. Nadler asked </w:t>
      </w:r>
      <w:r>
        <w:t>Atkinson to discuss his view on addressing child pornography and digital piracy with respect to dig</w:t>
      </w:r>
      <w:r w:rsidR="00611BFB">
        <w:t>ital trade.  Atkinson stressed that countries are not likely reach a consensus on these issues.  He stated that the United States should focus on protecting certain Internet websites from being blocked, including social media websites.</w:t>
      </w:r>
    </w:p>
    <w:p w14:paraId="65088719" w14:textId="3E5AF9C2" w:rsidR="00560EB6" w:rsidRPr="00560EB6" w:rsidRDefault="00F02116" w:rsidP="00726DAF">
      <w:pPr>
        <w:pStyle w:val="BodyText"/>
        <w:spacing w:before="240"/>
        <w:ind w:firstLine="720"/>
      </w:pPr>
      <w:r>
        <w:rPr>
          <w:b/>
          <w:i/>
        </w:rPr>
        <w:t>Other Potential Legislative and Policy Solutions.</w:t>
      </w:r>
      <w:r w:rsidR="004A22A8">
        <w:rPr>
          <w:b/>
          <w:i/>
        </w:rPr>
        <w:t xml:space="preserve">  </w:t>
      </w:r>
      <w:r w:rsidR="00B455F7">
        <w:t xml:space="preserve">Chairman Issa recommended that an approach similar to the multilateral agreement that Antarctica is a “non-country” and free trade zones be considered in the development of a framework for international data flow governance.  </w:t>
      </w:r>
      <w:r>
        <w:t>In offering a long term solution for international data flows, Espinel called for an international data flows framework t</w:t>
      </w:r>
      <w:r w:rsidR="00726DAF">
        <w:t xml:space="preserve">hat would be drafted in coordination </w:t>
      </w:r>
      <w:r w:rsidR="00766E3B">
        <w:t>with</w:t>
      </w:r>
      <w:r>
        <w:t xml:space="preserve"> various countries.</w:t>
      </w:r>
    </w:p>
    <w:p w14:paraId="167390B0" w14:textId="77777777" w:rsidR="00CB0D84" w:rsidRDefault="00CB0D84" w:rsidP="00B42A5E">
      <w:pPr>
        <w:pStyle w:val="BodyText"/>
        <w:spacing w:before="240"/>
        <w:jc w:val="center"/>
      </w:pPr>
      <w:r>
        <w:t>*</w:t>
      </w:r>
      <w:r>
        <w:tab/>
        <w:t>*</w:t>
      </w:r>
      <w:r>
        <w:tab/>
        <w:t>*</w:t>
      </w:r>
    </w:p>
    <w:p w14:paraId="6A826A61" w14:textId="77777777" w:rsidR="00FE5351" w:rsidRDefault="00CB0D84" w:rsidP="00B42A5E">
      <w:pPr>
        <w:pStyle w:val="BodyText"/>
        <w:spacing w:before="240"/>
        <w:ind w:firstLine="720"/>
      </w:pPr>
      <w:r>
        <w:t xml:space="preserve">Please contact us with any questions. </w:t>
      </w:r>
    </w:p>
    <w:p w14:paraId="7EEAEA10" w14:textId="77777777" w:rsidR="00560EB6" w:rsidRPr="00FD506C" w:rsidRDefault="00560EB6" w:rsidP="00B42A5E">
      <w:pPr>
        <w:pStyle w:val="BodyText"/>
        <w:spacing w:before="240"/>
        <w:ind w:firstLine="720"/>
        <w:rPr>
          <w:rFonts w:cs="Times New Roman"/>
        </w:rPr>
      </w:pPr>
    </w:p>
    <w:sectPr w:rsidR="00560EB6" w:rsidRPr="00FD506C" w:rsidSect="00B42A5E">
      <w:headerReference w:type="even" r:id="rId7"/>
      <w:headerReference w:type="default" r:id="rId8"/>
      <w:footerReference w:type="default" r:id="rId9"/>
      <w:head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62950" w14:textId="77777777" w:rsidR="007A4AE5" w:rsidRDefault="007A4AE5">
      <w:pPr>
        <w:spacing w:after="0" w:line="240" w:lineRule="auto"/>
      </w:pPr>
      <w:r>
        <w:separator/>
      </w:r>
    </w:p>
  </w:endnote>
  <w:endnote w:type="continuationSeparator" w:id="0">
    <w:p w14:paraId="5A54E11E" w14:textId="77777777" w:rsidR="007A4AE5" w:rsidRDefault="007A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351F" w14:textId="77777777" w:rsidR="009D7301" w:rsidRPr="00CB0D84" w:rsidRDefault="00ED65ED" w:rsidP="00910B49">
    <w:pPr>
      <w:pStyle w:val="Footer"/>
      <w:jc w:val="center"/>
      <w:rPr>
        <w:rFonts w:ascii="Times New Roman" w:hAnsi="Times New Roman" w:cs="Times New Roman"/>
      </w:rPr>
    </w:pPr>
    <w:r w:rsidRPr="00CB0D84">
      <w:rPr>
        <w:rFonts w:ascii="Times New Roman" w:hAnsi="Times New Roman" w:cs="Times New Roman"/>
      </w:rPr>
      <w:t>-</w:t>
    </w:r>
    <w:r w:rsidRPr="00CB0D84">
      <w:rPr>
        <w:rFonts w:ascii="Times New Roman" w:hAnsi="Times New Roman" w:cs="Times New Roman"/>
      </w:rPr>
      <w:fldChar w:fldCharType="begin"/>
    </w:r>
    <w:r w:rsidRPr="00CB0D84">
      <w:rPr>
        <w:rFonts w:ascii="Times New Roman" w:hAnsi="Times New Roman" w:cs="Times New Roman"/>
      </w:rPr>
      <w:instrText xml:space="preserve"> PAGE  \* MERGEFORMAT </w:instrText>
    </w:r>
    <w:r w:rsidRPr="00CB0D84">
      <w:rPr>
        <w:rFonts w:ascii="Times New Roman" w:hAnsi="Times New Roman" w:cs="Times New Roman"/>
      </w:rPr>
      <w:fldChar w:fldCharType="separate"/>
    </w:r>
    <w:r w:rsidR="008539DF">
      <w:rPr>
        <w:rFonts w:ascii="Times New Roman" w:hAnsi="Times New Roman" w:cs="Times New Roman"/>
        <w:noProof/>
      </w:rPr>
      <w:t>3</w:t>
    </w:r>
    <w:r w:rsidRPr="00CB0D84">
      <w:rPr>
        <w:rFonts w:ascii="Times New Roman" w:hAnsi="Times New Roman" w:cs="Times New Roman"/>
      </w:rPr>
      <w:fldChar w:fldCharType="end"/>
    </w:r>
    <w:r w:rsidRPr="00CB0D84">
      <w:rPr>
        <w:rFonts w:ascii="Times New Roman" w:hAnsi="Times New Roman" w:cs="Times New Roman"/>
      </w:rPr>
      <w:t>-</w:t>
    </w:r>
  </w:p>
  <w:p w14:paraId="0917C6D9" w14:textId="77777777" w:rsidR="009D7301" w:rsidRDefault="0085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3FD0B" w14:textId="77777777" w:rsidR="007A4AE5" w:rsidRDefault="007A4AE5">
      <w:pPr>
        <w:spacing w:after="0" w:line="240" w:lineRule="auto"/>
      </w:pPr>
      <w:r>
        <w:separator/>
      </w:r>
    </w:p>
  </w:footnote>
  <w:footnote w:type="continuationSeparator" w:id="0">
    <w:p w14:paraId="33BC4D36" w14:textId="77777777" w:rsidR="007A4AE5" w:rsidRDefault="007A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8FF2" w14:textId="77777777" w:rsidR="009D7301" w:rsidRDefault="008539DF">
    <w:pPr>
      <w:pStyle w:val="Header"/>
    </w:pPr>
    <w:r>
      <w:rPr>
        <w:noProof/>
      </w:rPr>
      <w:pict w14:anchorId="2953C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7.6pt;height:588.25pt;z-index:-251658752;mso-position-horizontal:center;mso-position-horizontal-relative:margin;mso-position-vertical:center;mso-position-vertical-relative:margin" o:allowincell="f">
          <v:imagedata r:id="rId1" o:title="V_watermark_Assemb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686C" w14:textId="77777777" w:rsidR="009D7301" w:rsidRDefault="00ED65ED" w:rsidP="00385F76">
    <w:pPr>
      <w:pStyle w:val="Header"/>
    </w:pPr>
    <w:r>
      <w:rPr>
        <w:noProof/>
      </w:rPr>
      <w:drawing>
        <wp:inline distT="0" distB="0" distL="0" distR="0" wp14:anchorId="0E5177DC" wp14:editId="666FFB60">
          <wp:extent cx="5934075" cy="609600"/>
          <wp:effectExtent l="0" t="0" r="9525" b="0"/>
          <wp:docPr id="1" name="Picture 1" descr="Secon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609600"/>
                  </a:xfrm>
                  <a:prstGeom prst="rect">
                    <a:avLst/>
                  </a:prstGeom>
                  <a:noFill/>
                  <a:ln>
                    <a:noFill/>
                  </a:ln>
                </pic:spPr>
              </pic:pic>
            </a:graphicData>
          </a:graphic>
        </wp:inline>
      </w:drawing>
    </w:r>
  </w:p>
  <w:p w14:paraId="6739FBEE" w14:textId="77777777" w:rsidR="006D2161" w:rsidRPr="00385F76" w:rsidRDefault="006D2161" w:rsidP="00385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CD73" w14:textId="77777777" w:rsidR="00742EE0" w:rsidRPr="00742EE0" w:rsidRDefault="00742EE0" w:rsidP="00B42A5E">
    <w:pPr>
      <w:pStyle w:val="Header"/>
      <w:tabs>
        <w:tab w:val="left" w:pos="4770"/>
        <w:tab w:val="left" w:pos="6120"/>
        <w:tab w:val="right" w:pos="9240"/>
      </w:tabs>
      <w:jc w:val="right"/>
      <w:rPr>
        <w:rFonts w:ascii="Times New Roman" w:hAnsi="Times New Roman" w:cs="Times New Roman"/>
        <w:sz w:val="24"/>
        <w:szCs w:val="24"/>
      </w:rPr>
    </w:pPr>
    <w:bookmarkStart w:id="8" w:name="Logo"/>
    <w:bookmarkEnd w:id="8"/>
    <w:r>
      <w:rPr>
        <w:noProof/>
        <w:sz w:val="16"/>
        <w:szCs w:val="16"/>
      </w:rPr>
      <w:drawing>
        <wp:inline distT="0" distB="0" distL="0" distR="0" wp14:anchorId="710B8483" wp14:editId="61E79258">
          <wp:extent cx="5943600" cy="60198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601980"/>
                  </a:xfrm>
                  <a:prstGeom prst="rect">
                    <a:avLst/>
                  </a:prstGeom>
                </pic:spPr>
              </pic:pic>
            </a:graphicData>
          </a:graphic>
        </wp:inline>
      </w:drawing>
    </w:r>
    <w:r w:rsidR="00ED65ED">
      <w:rPr>
        <w:sz w:val="16"/>
        <w:szCs w:val="16"/>
      </w:rPr>
      <w:tab/>
    </w:r>
    <w:r w:rsidR="00ED65ED">
      <w:rPr>
        <w:sz w:val="16"/>
        <w:szCs w:val="16"/>
      </w:rPr>
      <w:tab/>
    </w:r>
    <w:r w:rsidRPr="00742EE0">
      <w:rPr>
        <w:rFonts w:ascii="Times New Roman" w:hAnsi="Times New Roman" w:cs="Times New Roman"/>
        <w:sz w:val="24"/>
        <w:szCs w:val="24"/>
      </w:rPr>
      <w:t>ATTORNEY-CLIENT COMMUNICATION</w:t>
    </w:r>
  </w:p>
  <w:p w14:paraId="47FA7E6F" w14:textId="77777777" w:rsidR="009D7301" w:rsidRPr="00742EE0" w:rsidRDefault="00742EE0" w:rsidP="00742EE0">
    <w:pPr>
      <w:pStyle w:val="Header"/>
      <w:tabs>
        <w:tab w:val="left" w:pos="4770"/>
        <w:tab w:val="left" w:pos="6120"/>
        <w:tab w:val="right" w:pos="9240"/>
      </w:tabs>
      <w:jc w:val="right"/>
      <w:rPr>
        <w:rFonts w:ascii="Times New Roman" w:hAnsi="Times New Roman" w:cs="Times New Roman"/>
        <w:sz w:val="24"/>
        <w:szCs w:val="24"/>
      </w:rPr>
    </w:pPr>
    <w:r w:rsidRPr="00742EE0">
      <w:rPr>
        <w:rFonts w:ascii="Times New Roman" w:hAnsi="Times New Roman" w:cs="Times New Roman"/>
        <w:sz w:val="24"/>
        <w:szCs w:val="24"/>
      </w:rPr>
      <w:t>PRIVILEGED &amp;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751DB"/>
    <w:multiLevelType w:val="hybridMultilevel"/>
    <w:tmpl w:val="BAEA4ED4"/>
    <w:lvl w:ilvl="0" w:tplc="32E295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B933EE"/>
    <w:multiLevelType w:val="hybridMultilevel"/>
    <w:tmpl w:val="DB4C9B04"/>
    <w:lvl w:ilvl="0" w:tplc="14066F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47314A"/>
    <w:multiLevelType w:val="hybridMultilevel"/>
    <w:tmpl w:val="08D64D9E"/>
    <w:lvl w:ilvl="0" w:tplc="7BE68E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E0"/>
    <w:rsid w:val="00010B4F"/>
    <w:rsid w:val="00010FEC"/>
    <w:rsid w:val="0001308D"/>
    <w:rsid w:val="0001418C"/>
    <w:rsid w:val="00017539"/>
    <w:rsid w:val="00042C79"/>
    <w:rsid w:val="00045BDA"/>
    <w:rsid w:val="00072202"/>
    <w:rsid w:val="00087432"/>
    <w:rsid w:val="0009337B"/>
    <w:rsid w:val="00097724"/>
    <w:rsid w:val="000B46FB"/>
    <w:rsid w:val="000D5FF1"/>
    <w:rsid w:val="000D786C"/>
    <w:rsid w:val="000E7B2E"/>
    <w:rsid w:val="000F13A0"/>
    <w:rsid w:val="001026EA"/>
    <w:rsid w:val="00110122"/>
    <w:rsid w:val="0011273C"/>
    <w:rsid w:val="00122E14"/>
    <w:rsid w:val="001378DE"/>
    <w:rsid w:val="00141492"/>
    <w:rsid w:val="00141E22"/>
    <w:rsid w:val="00151F28"/>
    <w:rsid w:val="00155F9B"/>
    <w:rsid w:val="00163097"/>
    <w:rsid w:val="00164ACA"/>
    <w:rsid w:val="00166FED"/>
    <w:rsid w:val="00167043"/>
    <w:rsid w:val="001750A5"/>
    <w:rsid w:val="0018033E"/>
    <w:rsid w:val="00180369"/>
    <w:rsid w:val="001A365D"/>
    <w:rsid w:val="001B1DD0"/>
    <w:rsid w:val="001B5854"/>
    <w:rsid w:val="001C26F8"/>
    <w:rsid w:val="001D643A"/>
    <w:rsid w:val="001E0238"/>
    <w:rsid w:val="001E3081"/>
    <w:rsid w:val="001E3655"/>
    <w:rsid w:val="001F1095"/>
    <w:rsid w:val="00207D66"/>
    <w:rsid w:val="00220AFE"/>
    <w:rsid w:val="002238AA"/>
    <w:rsid w:val="00234776"/>
    <w:rsid w:val="00236334"/>
    <w:rsid w:val="002665E9"/>
    <w:rsid w:val="00273EB0"/>
    <w:rsid w:val="002824BC"/>
    <w:rsid w:val="00291A87"/>
    <w:rsid w:val="002A669F"/>
    <w:rsid w:val="002D44BC"/>
    <w:rsid w:val="002E7228"/>
    <w:rsid w:val="002F2BDF"/>
    <w:rsid w:val="002F73B6"/>
    <w:rsid w:val="00316115"/>
    <w:rsid w:val="003234DD"/>
    <w:rsid w:val="00327E7A"/>
    <w:rsid w:val="003507BB"/>
    <w:rsid w:val="00373996"/>
    <w:rsid w:val="00391EC6"/>
    <w:rsid w:val="003920A0"/>
    <w:rsid w:val="00395E96"/>
    <w:rsid w:val="003A0DA7"/>
    <w:rsid w:val="003C7916"/>
    <w:rsid w:val="003E159A"/>
    <w:rsid w:val="00400468"/>
    <w:rsid w:val="00403435"/>
    <w:rsid w:val="00406727"/>
    <w:rsid w:val="00455057"/>
    <w:rsid w:val="00471035"/>
    <w:rsid w:val="00471ECE"/>
    <w:rsid w:val="004729EE"/>
    <w:rsid w:val="004917FF"/>
    <w:rsid w:val="004A22A8"/>
    <w:rsid w:val="004A2656"/>
    <w:rsid w:val="004B0D8C"/>
    <w:rsid w:val="004C6C05"/>
    <w:rsid w:val="004C79D2"/>
    <w:rsid w:val="00502BF2"/>
    <w:rsid w:val="00510ED9"/>
    <w:rsid w:val="0051722C"/>
    <w:rsid w:val="00534844"/>
    <w:rsid w:val="00540BDF"/>
    <w:rsid w:val="00560EB6"/>
    <w:rsid w:val="00563F18"/>
    <w:rsid w:val="005736AA"/>
    <w:rsid w:val="00582B8C"/>
    <w:rsid w:val="00586C31"/>
    <w:rsid w:val="005B2442"/>
    <w:rsid w:val="005C71A6"/>
    <w:rsid w:val="005D53D8"/>
    <w:rsid w:val="005D7AEB"/>
    <w:rsid w:val="005D7EAC"/>
    <w:rsid w:val="00604548"/>
    <w:rsid w:val="00611BFB"/>
    <w:rsid w:val="00616D67"/>
    <w:rsid w:val="006177E2"/>
    <w:rsid w:val="00623553"/>
    <w:rsid w:val="006236F6"/>
    <w:rsid w:val="006302B4"/>
    <w:rsid w:val="00640EDF"/>
    <w:rsid w:val="00643E9D"/>
    <w:rsid w:val="00651399"/>
    <w:rsid w:val="006525BA"/>
    <w:rsid w:val="0067385A"/>
    <w:rsid w:val="006774A9"/>
    <w:rsid w:val="00694176"/>
    <w:rsid w:val="006963DE"/>
    <w:rsid w:val="006A3DF5"/>
    <w:rsid w:val="006C3E97"/>
    <w:rsid w:val="006D2161"/>
    <w:rsid w:val="006D2240"/>
    <w:rsid w:val="006F5959"/>
    <w:rsid w:val="00700FA7"/>
    <w:rsid w:val="00703BC8"/>
    <w:rsid w:val="00703DE0"/>
    <w:rsid w:val="0070629C"/>
    <w:rsid w:val="00716F7D"/>
    <w:rsid w:val="00726A4D"/>
    <w:rsid w:val="00726DAF"/>
    <w:rsid w:val="00742EE0"/>
    <w:rsid w:val="00744D6D"/>
    <w:rsid w:val="00747655"/>
    <w:rsid w:val="00753AC0"/>
    <w:rsid w:val="007552A3"/>
    <w:rsid w:val="007619DA"/>
    <w:rsid w:val="00763524"/>
    <w:rsid w:val="00766E3B"/>
    <w:rsid w:val="00771430"/>
    <w:rsid w:val="00774C51"/>
    <w:rsid w:val="007A4AE5"/>
    <w:rsid w:val="007A7B48"/>
    <w:rsid w:val="007B4B07"/>
    <w:rsid w:val="007B604D"/>
    <w:rsid w:val="007D6800"/>
    <w:rsid w:val="00831C3A"/>
    <w:rsid w:val="00843E11"/>
    <w:rsid w:val="008450DF"/>
    <w:rsid w:val="008539DF"/>
    <w:rsid w:val="00871528"/>
    <w:rsid w:val="00871C07"/>
    <w:rsid w:val="00883856"/>
    <w:rsid w:val="00886578"/>
    <w:rsid w:val="008A118A"/>
    <w:rsid w:val="008B0283"/>
    <w:rsid w:val="008C3112"/>
    <w:rsid w:val="008D1871"/>
    <w:rsid w:val="008D2207"/>
    <w:rsid w:val="008D32F4"/>
    <w:rsid w:val="008E6D32"/>
    <w:rsid w:val="008F54F5"/>
    <w:rsid w:val="008F7B83"/>
    <w:rsid w:val="009213D7"/>
    <w:rsid w:val="00923799"/>
    <w:rsid w:val="0094160E"/>
    <w:rsid w:val="0096125E"/>
    <w:rsid w:val="00994AFB"/>
    <w:rsid w:val="009A4A5E"/>
    <w:rsid w:val="009C7DCF"/>
    <w:rsid w:val="009E6599"/>
    <w:rsid w:val="009F5387"/>
    <w:rsid w:val="00A12890"/>
    <w:rsid w:val="00A1315D"/>
    <w:rsid w:val="00A2258C"/>
    <w:rsid w:val="00A30090"/>
    <w:rsid w:val="00A3705F"/>
    <w:rsid w:val="00A42FD2"/>
    <w:rsid w:val="00A53D0B"/>
    <w:rsid w:val="00A56BFC"/>
    <w:rsid w:val="00A57E6D"/>
    <w:rsid w:val="00A61889"/>
    <w:rsid w:val="00A6729A"/>
    <w:rsid w:val="00A93229"/>
    <w:rsid w:val="00A9757C"/>
    <w:rsid w:val="00A97E19"/>
    <w:rsid w:val="00AA6694"/>
    <w:rsid w:val="00AB232D"/>
    <w:rsid w:val="00AB241A"/>
    <w:rsid w:val="00AB2505"/>
    <w:rsid w:val="00AB3759"/>
    <w:rsid w:val="00AC2EAD"/>
    <w:rsid w:val="00AC35AA"/>
    <w:rsid w:val="00AE6487"/>
    <w:rsid w:val="00B0087D"/>
    <w:rsid w:val="00B16145"/>
    <w:rsid w:val="00B4059E"/>
    <w:rsid w:val="00B42A5E"/>
    <w:rsid w:val="00B42E74"/>
    <w:rsid w:val="00B42F85"/>
    <w:rsid w:val="00B455F7"/>
    <w:rsid w:val="00B63269"/>
    <w:rsid w:val="00B66712"/>
    <w:rsid w:val="00B735F8"/>
    <w:rsid w:val="00B74BEB"/>
    <w:rsid w:val="00B836C9"/>
    <w:rsid w:val="00B9038D"/>
    <w:rsid w:val="00B954BF"/>
    <w:rsid w:val="00B97038"/>
    <w:rsid w:val="00BA01A7"/>
    <w:rsid w:val="00BB2937"/>
    <w:rsid w:val="00BB5932"/>
    <w:rsid w:val="00BB68AB"/>
    <w:rsid w:val="00BC0252"/>
    <w:rsid w:val="00BD58E6"/>
    <w:rsid w:val="00BE00EE"/>
    <w:rsid w:val="00BF1292"/>
    <w:rsid w:val="00C074DA"/>
    <w:rsid w:val="00C10E16"/>
    <w:rsid w:val="00C11184"/>
    <w:rsid w:val="00C24278"/>
    <w:rsid w:val="00C277AD"/>
    <w:rsid w:val="00C338FB"/>
    <w:rsid w:val="00C5702B"/>
    <w:rsid w:val="00C57954"/>
    <w:rsid w:val="00C634FE"/>
    <w:rsid w:val="00C637D3"/>
    <w:rsid w:val="00C65C72"/>
    <w:rsid w:val="00C67FA7"/>
    <w:rsid w:val="00C904F8"/>
    <w:rsid w:val="00CB0D84"/>
    <w:rsid w:val="00CB5E89"/>
    <w:rsid w:val="00CD6C3A"/>
    <w:rsid w:val="00D00A65"/>
    <w:rsid w:val="00D03CE1"/>
    <w:rsid w:val="00D07F98"/>
    <w:rsid w:val="00D1526D"/>
    <w:rsid w:val="00D31CB8"/>
    <w:rsid w:val="00D3651B"/>
    <w:rsid w:val="00D503BD"/>
    <w:rsid w:val="00D76CB4"/>
    <w:rsid w:val="00D86F03"/>
    <w:rsid w:val="00D96382"/>
    <w:rsid w:val="00DA385F"/>
    <w:rsid w:val="00DB07FC"/>
    <w:rsid w:val="00DC098B"/>
    <w:rsid w:val="00DC6BC8"/>
    <w:rsid w:val="00DE15D1"/>
    <w:rsid w:val="00DF2955"/>
    <w:rsid w:val="00E256DF"/>
    <w:rsid w:val="00E30689"/>
    <w:rsid w:val="00E31753"/>
    <w:rsid w:val="00E47EAE"/>
    <w:rsid w:val="00E721FD"/>
    <w:rsid w:val="00E92EF7"/>
    <w:rsid w:val="00EA482F"/>
    <w:rsid w:val="00EA65BF"/>
    <w:rsid w:val="00ED3904"/>
    <w:rsid w:val="00ED65ED"/>
    <w:rsid w:val="00EF16CC"/>
    <w:rsid w:val="00EF72A2"/>
    <w:rsid w:val="00F02116"/>
    <w:rsid w:val="00F26393"/>
    <w:rsid w:val="00F33F82"/>
    <w:rsid w:val="00F40360"/>
    <w:rsid w:val="00F4155C"/>
    <w:rsid w:val="00F470AC"/>
    <w:rsid w:val="00F64D27"/>
    <w:rsid w:val="00FB2AAA"/>
    <w:rsid w:val="00FC1905"/>
    <w:rsid w:val="00FC25AF"/>
    <w:rsid w:val="00FD506C"/>
    <w:rsid w:val="00FE4096"/>
    <w:rsid w:val="00FE5351"/>
    <w:rsid w:val="00FE7E2D"/>
    <w:rsid w:val="00FF1F7C"/>
    <w:rsid w:val="00FF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0E12A"/>
  <w15:docId w15:val="{29C9323D-8182-4984-94F5-34A36E2E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5ED"/>
  </w:style>
  <w:style w:type="paragraph" w:styleId="Footer">
    <w:name w:val="footer"/>
    <w:basedOn w:val="Normal"/>
    <w:link w:val="FooterChar"/>
    <w:uiPriority w:val="99"/>
    <w:unhideWhenUsed/>
    <w:rsid w:val="00E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ED"/>
  </w:style>
  <w:style w:type="table" w:styleId="TableGrid">
    <w:name w:val="Table Grid"/>
    <w:basedOn w:val="TableNormal"/>
    <w:rsid w:val="00ED6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B0D84"/>
    <w:pPr>
      <w:spacing w:after="240" w:line="240" w:lineRule="auto"/>
    </w:pPr>
    <w:rPr>
      <w:rFonts w:ascii="Times New Roman" w:eastAsiaTheme="minorHAnsi" w:hAnsi="Times New Roman"/>
      <w:sz w:val="24"/>
      <w:szCs w:val="24"/>
    </w:rPr>
  </w:style>
  <w:style w:type="character" w:customStyle="1" w:styleId="BodyTextChar">
    <w:name w:val="Body Text Char"/>
    <w:basedOn w:val="DefaultParagraphFont"/>
    <w:link w:val="BodyText"/>
    <w:uiPriority w:val="1"/>
    <w:rsid w:val="00CB0D84"/>
    <w:rPr>
      <w:rFonts w:ascii="Times New Roman" w:eastAsiaTheme="minorHAnsi" w:hAnsi="Times New Roman"/>
      <w:sz w:val="24"/>
      <w:szCs w:val="24"/>
    </w:rPr>
  </w:style>
  <w:style w:type="character" w:styleId="Emphasis">
    <w:name w:val="Emphasis"/>
    <w:basedOn w:val="DefaultParagraphFont"/>
    <w:uiPriority w:val="20"/>
    <w:qFormat/>
    <w:rsid w:val="00616D67"/>
    <w:rPr>
      <w:b/>
      <w:bCs/>
      <w:i w:val="0"/>
      <w:iCs w:val="0"/>
    </w:rPr>
  </w:style>
  <w:style w:type="paragraph" w:styleId="BalloonText">
    <w:name w:val="Balloon Text"/>
    <w:basedOn w:val="Normal"/>
    <w:link w:val="BalloonTextChar"/>
    <w:uiPriority w:val="99"/>
    <w:semiHidden/>
    <w:unhideWhenUsed/>
    <w:rsid w:val="00395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96"/>
    <w:rPr>
      <w:rFonts w:ascii="Segoe UI" w:hAnsi="Segoe UI" w:cs="Segoe UI"/>
      <w:sz w:val="18"/>
      <w:szCs w:val="18"/>
    </w:rPr>
  </w:style>
  <w:style w:type="character" w:styleId="Hyperlink">
    <w:name w:val="Hyperlink"/>
    <w:basedOn w:val="DefaultParagraphFont"/>
    <w:uiPriority w:val="99"/>
    <w:unhideWhenUsed/>
    <w:rsid w:val="00C57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header" Target="header3.xml" />
  <Relationship Id="rId4" Type="http://schemas.openxmlformats.org/officeDocument/2006/relationships/webSettings" Target="webSettings.xml" />
  <Relationship Id="rId9" Type="http://schemas.openxmlformats.org/officeDocument/2006/relationships/footer" Target="footer1.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eg" />
</Relationships>
</file>

<file path=word/_rels/header2.xml.rels>&#65279;<?xml version="1.0" encoding="UTF-8" standalone="yes"?>
<Relationships xmlns="http://schemas.openxmlformats.org/package/2006/relationships">
  <Relationship Id="rId1" Type="http://schemas.openxmlformats.org/officeDocument/2006/relationships/image" Target="media/image2.jpeg" />
</Relationships>
</file>

<file path=word/_rels/header3.xml.rels>&#65279;<?xml version="1.0" encoding="UTF-8" standalone="yes"?>
<Relationships xmlns="http://schemas.openxmlformats.org/package/2006/relationships">
  <Relationship Id="rId1" Type="http://schemas.openxmlformats.org/officeDocument/2006/relationships/image" Target="media/image3.jp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2716</Words>
  <Characters>15814</Characters>
  <Application>Microsoft Office Word</Application>
  <DocSecurity>0</DocSecurity>
  <Lines>247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